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560" w:lineRule="exact"/>
        <w:rPr>
          <w:rFonts w:ascii="仿宋_GB2312"/>
          <w:sz w:val="32"/>
          <w:szCs w:val="32"/>
        </w:rPr>
      </w:pPr>
      <w:r>
        <w:rPr>
          <w:rFonts w:hint="eastAsia" w:ascii="黑体" w:eastAsia="黑体"/>
          <w:sz w:val="32"/>
          <w:szCs w:val="32"/>
        </w:rPr>
        <w:t>附件1</w:t>
      </w:r>
    </w:p>
    <w:p>
      <w:pPr>
        <w:adjustRightInd w:val="0"/>
        <w:snapToGrid w:val="0"/>
        <w:spacing w:line="560" w:lineRule="exact"/>
        <w:rPr>
          <w:rFonts w:ascii="仿宋_GB2312"/>
          <w:sz w:val="32"/>
          <w:szCs w:val="32"/>
        </w:rPr>
      </w:pPr>
    </w:p>
    <w:p>
      <w:pPr>
        <w:adjustRightInd w:val="0"/>
        <w:snapToGrid w:val="0"/>
        <w:spacing w:line="560" w:lineRule="exact"/>
        <w:ind w:firstLine="880"/>
        <w:jc w:val="both"/>
        <w:rPr>
          <w:rFonts w:ascii="方正小标宋_GBK" w:eastAsia="方正小标宋_GBK"/>
          <w:sz w:val="44"/>
          <w:szCs w:val="44"/>
        </w:rPr>
      </w:pPr>
      <w:r>
        <w:rPr>
          <w:rFonts w:hint="eastAsia" w:ascii="方正小标宋_GBK" w:eastAsia="方正小标宋_GBK"/>
          <w:sz w:val="44"/>
          <w:szCs w:val="44"/>
        </w:rPr>
        <w:t>2024年青岛市社会科学规划研究项目</w:t>
      </w:r>
    </w:p>
    <w:p>
      <w:pPr>
        <w:adjustRightInd w:val="0"/>
        <w:snapToGrid w:val="0"/>
        <w:spacing w:line="560" w:lineRule="exact"/>
        <w:ind w:firstLine="3330" w:firstLineChars="757"/>
        <w:jc w:val="both"/>
        <w:rPr>
          <w:rFonts w:ascii="方正小标宋_GBK" w:eastAsia="方正小标宋_GBK"/>
          <w:sz w:val="44"/>
          <w:szCs w:val="44"/>
        </w:rPr>
      </w:pPr>
      <w:r>
        <w:rPr>
          <w:rFonts w:hint="eastAsia" w:ascii="方正小标宋_GBK" w:eastAsia="方正小标宋_GBK"/>
          <w:sz w:val="44"/>
          <w:szCs w:val="44"/>
        </w:rPr>
        <w:t>课题指南</w:t>
      </w:r>
    </w:p>
    <w:p>
      <w:pPr>
        <w:adjustRightInd w:val="0"/>
        <w:snapToGrid w:val="0"/>
        <w:spacing w:line="560" w:lineRule="exact"/>
        <w:ind w:firstLine="640" w:firstLineChars="200"/>
        <w:rPr>
          <w:rFonts w:ascii="仿宋_GB2312"/>
          <w:sz w:val="32"/>
          <w:szCs w:val="32"/>
        </w:rPr>
      </w:pPr>
    </w:p>
    <w:p>
      <w:pPr>
        <w:adjustRightInd w:val="0"/>
        <w:snapToGrid w:val="0"/>
        <w:spacing w:line="560" w:lineRule="exact"/>
        <w:ind w:firstLine="640" w:firstLineChars="200"/>
        <w:rPr>
          <w:sz w:val="32"/>
          <w:szCs w:val="32"/>
        </w:rPr>
      </w:pPr>
      <w:r>
        <w:rPr>
          <w:rFonts w:hint="eastAsia"/>
          <w:sz w:val="32"/>
          <w:szCs w:val="32"/>
        </w:rPr>
        <w:t>2024年度青岛市社科规划研究项目申报分为一般项目、青年项目、研究专项。</w:t>
      </w:r>
    </w:p>
    <w:p>
      <w:pPr>
        <w:adjustRightInd w:val="0"/>
        <w:snapToGrid w:val="0"/>
        <w:spacing w:line="560" w:lineRule="exact"/>
        <w:ind w:firstLine="640" w:firstLineChars="200"/>
        <w:rPr>
          <w:sz w:val="32"/>
          <w:szCs w:val="32"/>
        </w:rPr>
      </w:pPr>
      <w:r>
        <w:rPr>
          <w:rFonts w:hint="eastAsia"/>
          <w:sz w:val="32"/>
          <w:szCs w:val="32"/>
        </w:rPr>
        <w:t>本指南所列条目主要规定的是研究范围和方向，不是具体题目。申请人可根据自己的学术专长和研究方向选择不同的研究角度、方法和侧重点，自行设计具体题目，也可结合全国、全省和全市经济社会发展实际，另行设计具体题目。</w:t>
      </w:r>
    </w:p>
    <w:p>
      <w:pPr>
        <w:adjustRightInd w:val="0"/>
        <w:snapToGrid w:val="0"/>
        <w:spacing w:line="560" w:lineRule="exact"/>
        <w:ind w:firstLine="640" w:firstLineChars="200"/>
        <w:rPr>
          <w:sz w:val="32"/>
          <w:szCs w:val="32"/>
        </w:rPr>
      </w:pPr>
      <w:r>
        <w:rPr>
          <w:rFonts w:hint="eastAsia"/>
          <w:sz w:val="32"/>
          <w:szCs w:val="32"/>
        </w:rPr>
        <w:t>基础理论研究，要着力推进学科体系、学术体系、话语体系建设和创新，推出有分量有深度的研究成果。应用对策研究，要对接经济社会发展要求，提出具有针对性、可操作性的对策建议，为各级党委政府决策服务。</w:t>
      </w:r>
    </w:p>
    <w:p>
      <w:pPr>
        <w:adjustRightInd w:val="0"/>
        <w:snapToGrid w:val="0"/>
        <w:spacing w:line="560" w:lineRule="exact"/>
        <w:ind w:firstLine="640" w:firstLineChars="200"/>
        <w:rPr>
          <w:rFonts w:ascii="黑体" w:hAnsi="黑体" w:eastAsia="黑体" w:cs="黑体"/>
          <w:sz w:val="32"/>
          <w:szCs w:val="32"/>
        </w:rPr>
      </w:pPr>
      <w:r>
        <w:rPr>
          <w:rFonts w:hint="eastAsia" w:ascii="黑体" w:hAnsi="黑体" w:eastAsia="黑体" w:cs="黑体"/>
          <w:sz w:val="32"/>
          <w:szCs w:val="32"/>
        </w:rPr>
        <w:t>一、马列·科社</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rPr>
        <w:t>1.习近平新时代中国特色社会主义思想体系化研究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rPr>
        <w:t>2.习近平新时代中国特色社会主义思想学理化研究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rPr>
        <w:t>3.习近平新时代中国特色社会主义思想的世界观和方法论研究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rPr>
        <w:t>4.习近平总书记关于科技创新的重要论述研究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lang w:val="en-US" w:eastAsia="zh-CN"/>
        </w:rPr>
        <w:t>5.</w:t>
      </w:r>
      <w:r>
        <w:rPr>
          <w:rFonts w:hint="eastAsia" w:ascii="仿宋_GB2312" w:hAnsi="仿宋_GB2312" w:cs="仿宋_GB2312"/>
          <w:sz w:val="32"/>
          <w:szCs w:val="32"/>
        </w:rPr>
        <w:t>“两个结合”的重大意义、深刻内涵和内在机理研究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lang w:val="en-US" w:eastAsia="zh-CN"/>
        </w:rPr>
        <w:t>6</w:t>
      </w:r>
      <w:r>
        <w:rPr>
          <w:rFonts w:ascii="仿宋_GB2312" w:hAnsi="仿宋_GB2312" w:cs="仿宋_GB2312"/>
          <w:sz w:val="32"/>
          <w:szCs w:val="32"/>
        </w:rPr>
        <w:t>.</w:t>
      </w:r>
      <w:r>
        <w:rPr>
          <w:rFonts w:hint="eastAsia" w:ascii="仿宋_GB2312" w:hAnsi="仿宋_GB2312" w:cs="仿宋_GB2312"/>
          <w:sz w:val="32"/>
          <w:szCs w:val="32"/>
        </w:rPr>
        <w:t>中国式现代化理论的体系化学理化研究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lang w:val="en-US" w:eastAsia="zh-CN"/>
        </w:rPr>
        <w:t>7</w:t>
      </w:r>
      <w:r>
        <w:rPr>
          <w:rFonts w:hint="eastAsia" w:ascii="仿宋_GB2312" w:hAnsi="仿宋_GB2312" w:cs="仿宋_GB2312"/>
          <w:sz w:val="32"/>
          <w:szCs w:val="32"/>
        </w:rPr>
        <w:t>.建设中华民族现代文明研究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lang w:val="en-US" w:eastAsia="zh-CN"/>
        </w:rPr>
        <w:t>8</w:t>
      </w:r>
      <w:r>
        <w:rPr>
          <w:rFonts w:hint="eastAsia" w:ascii="仿宋_GB2312" w:hAnsi="仿宋_GB2312" w:cs="仿宋_GB2312"/>
          <w:sz w:val="32"/>
          <w:szCs w:val="32"/>
        </w:rPr>
        <w:t>.新质生产力及对马克思主义生产力理论的发展研究</w:t>
      </w:r>
    </w:p>
    <w:p>
      <w:pPr>
        <w:adjustRightInd w:val="0"/>
        <w:snapToGrid w:val="0"/>
        <w:spacing w:line="560" w:lineRule="exact"/>
        <w:ind w:left="640"/>
        <w:rPr>
          <w:rFonts w:ascii="仿宋_GB2312" w:hAnsi="仿宋_GB2312" w:cs="仿宋_GB2312"/>
          <w:sz w:val="32"/>
          <w:szCs w:val="32"/>
        </w:rPr>
      </w:pPr>
      <w:r>
        <w:rPr>
          <w:rFonts w:hint="eastAsia" w:ascii="仿宋_GB2312" w:hAnsi="仿宋_GB2312" w:cs="仿宋_GB2312"/>
          <w:sz w:val="32"/>
          <w:szCs w:val="32"/>
          <w:lang w:val="en-US" w:eastAsia="zh-CN"/>
        </w:rPr>
        <w:t>9</w:t>
      </w:r>
      <w:r>
        <w:rPr>
          <w:rFonts w:hint="eastAsia" w:ascii="仿宋_GB2312" w:hAnsi="仿宋_GB2312" w:cs="仿宋_GB2312"/>
          <w:sz w:val="32"/>
          <w:szCs w:val="32"/>
        </w:rPr>
        <w:t>.马克思主义与中国传统文化融合研究</w:t>
      </w:r>
    </w:p>
    <w:p>
      <w:pPr>
        <w:adjustRightInd w:val="0"/>
        <w:snapToGrid w:val="0"/>
        <w:spacing w:line="560" w:lineRule="exact"/>
        <w:ind w:left="640"/>
        <w:rPr>
          <w:rFonts w:ascii="仿宋_GB2312" w:hAnsi="仿宋_GB2312" w:cs="仿宋_GB2312"/>
          <w:bCs/>
          <w:sz w:val="32"/>
          <w:szCs w:val="32"/>
        </w:rPr>
      </w:pPr>
      <w:r>
        <w:rPr>
          <w:rFonts w:hint="eastAsia" w:ascii="仿宋_GB2312" w:hAnsi="仿宋_GB2312" w:cs="仿宋_GB2312"/>
          <w:bCs/>
          <w:sz w:val="32"/>
          <w:szCs w:val="32"/>
          <w:lang w:val="en-US" w:eastAsia="zh-CN"/>
        </w:rPr>
        <w:t>10</w:t>
      </w:r>
      <w:r>
        <w:rPr>
          <w:rFonts w:hint="eastAsia" w:ascii="仿宋_GB2312" w:hAnsi="仿宋_GB2312" w:cs="仿宋_GB2312"/>
          <w:bCs/>
          <w:sz w:val="32"/>
          <w:szCs w:val="32"/>
        </w:rPr>
        <w:t>.马克思主义价值观在当代中国青年中的引导作用研究</w:t>
      </w:r>
    </w:p>
    <w:p>
      <w:pPr>
        <w:adjustRightInd w:val="0"/>
        <w:snapToGrid w:val="0"/>
        <w:spacing w:line="560" w:lineRule="exact"/>
        <w:ind w:left="640"/>
        <w:rPr>
          <w:rFonts w:ascii="仿宋_GB2312" w:hAnsi="仿宋_GB2312" w:cs="仿宋_GB2312"/>
          <w:bCs/>
          <w:sz w:val="32"/>
          <w:szCs w:val="32"/>
        </w:rPr>
      </w:pPr>
      <w:r>
        <w:rPr>
          <w:rFonts w:ascii="仿宋_GB2312" w:hAnsi="仿宋_GB2312" w:cs="仿宋_GB2312"/>
          <w:bCs/>
          <w:sz w:val="32"/>
          <w:szCs w:val="32"/>
        </w:rPr>
        <w:t>1</w:t>
      </w:r>
      <w:r>
        <w:rPr>
          <w:rFonts w:hint="eastAsia" w:ascii="仿宋_GB2312" w:hAnsi="仿宋_GB2312" w:cs="仿宋_GB2312"/>
          <w:bCs/>
          <w:sz w:val="32"/>
          <w:szCs w:val="32"/>
          <w:lang w:val="en-US" w:eastAsia="zh-CN"/>
        </w:rPr>
        <w:t>1</w:t>
      </w:r>
      <w:r>
        <w:rPr>
          <w:rFonts w:hint="eastAsia" w:ascii="仿宋_GB2312" w:hAnsi="仿宋_GB2312" w:cs="仿宋_GB2312"/>
          <w:bCs/>
          <w:sz w:val="32"/>
          <w:szCs w:val="32"/>
        </w:rPr>
        <w:t>.中国式现代化的文化传统、历史经验和世界意义研究</w:t>
      </w:r>
    </w:p>
    <w:p>
      <w:pPr>
        <w:adjustRightInd w:val="0"/>
        <w:snapToGrid w:val="0"/>
        <w:spacing w:line="560" w:lineRule="exact"/>
        <w:ind w:left="640"/>
        <w:rPr>
          <w:rFonts w:ascii="仿宋_GB2312" w:hAnsi="仿宋_GB2312" w:cs="仿宋_GB2312"/>
          <w:bCs/>
          <w:sz w:val="32"/>
          <w:szCs w:val="32"/>
        </w:rPr>
      </w:pPr>
      <w:r>
        <w:rPr>
          <w:rFonts w:ascii="仿宋_GB2312" w:hAnsi="仿宋_GB2312" w:cs="仿宋_GB2312"/>
          <w:bCs/>
          <w:sz w:val="32"/>
          <w:szCs w:val="32"/>
        </w:rPr>
        <w:t>1</w:t>
      </w:r>
      <w:r>
        <w:rPr>
          <w:rFonts w:hint="eastAsia" w:ascii="仿宋_GB2312" w:hAnsi="仿宋_GB2312" w:cs="仿宋_GB2312"/>
          <w:bCs/>
          <w:sz w:val="32"/>
          <w:szCs w:val="32"/>
          <w:lang w:val="en-US" w:eastAsia="zh-CN"/>
        </w:rPr>
        <w:t>2</w:t>
      </w:r>
      <w:r>
        <w:rPr>
          <w:rFonts w:hint="eastAsia" w:ascii="仿宋_GB2312" w:hAnsi="仿宋_GB2312" w:cs="仿宋_GB2312"/>
          <w:bCs/>
          <w:sz w:val="32"/>
          <w:szCs w:val="32"/>
        </w:rPr>
        <w:t>.中国式现代化新道路的传统文化根基研究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rPr>
        <w:t>1</w:t>
      </w:r>
      <w:r>
        <w:rPr>
          <w:rFonts w:hint="eastAsia" w:ascii="仿宋_GB2312" w:hAnsi="仿宋_GB2312" w:cs="仿宋_GB2312"/>
          <w:sz w:val="32"/>
          <w:szCs w:val="32"/>
          <w:lang w:val="en-US" w:eastAsia="zh-CN"/>
        </w:rPr>
        <w:t>3</w:t>
      </w:r>
      <w:r>
        <w:rPr>
          <w:rFonts w:hint="eastAsia" w:ascii="仿宋_GB2312" w:hAnsi="仿宋_GB2312" w:cs="仿宋_GB2312"/>
          <w:sz w:val="32"/>
          <w:szCs w:val="32"/>
        </w:rPr>
        <w:t>.中国特色哲学社会科学评价体系、激励机制优化研究</w:t>
      </w:r>
    </w:p>
    <w:p>
      <w:pPr>
        <w:adjustRightInd w:val="0"/>
        <w:snapToGrid w:val="0"/>
        <w:spacing w:line="560" w:lineRule="exact"/>
        <w:ind w:firstLine="640" w:firstLineChars="200"/>
        <w:rPr>
          <w:rFonts w:hint="eastAsia" w:ascii="仿宋_GB2312" w:hAnsi="仿宋_GB2312" w:cs="仿宋_GB2312"/>
          <w:sz w:val="32"/>
          <w:szCs w:val="32"/>
        </w:rPr>
      </w:pPr>
      <w:r>
        <w:rPr>
          <w:rFonts w:hint="eastAsia" w:ascii="仿宋_GB2312" w:hAnsi="仿宋_GB2312" w:cs="仿宋_GB2312"/>
          <w:sz w:val="32"/>
          <w:szCs w:val="32"/>
        </w:rPr>
        <w:t>1</w:t>
      </w:r>
      <w:r>
        <w:rPr>
          <w:rFonts w:hint="eastAsia" w:ascii="仿宋_GB2312" w:hAnsi="仿宋_GB2312" w:cs="仿宋_GB2312"/>
          <w:sz w:val="32"/>
          <w:szCs w:val="32"/>
          <w:lang w:val="en-US" w:eastAsia="zh-CN"/>
        </w:rPr>
        <w:t>4</w:t>
      </w:r>
      <w:r>
        <w:rPr>
          <w:rFonts w:hint="eastAsia" w:ascii="仿宋_GB2312" w:hAnsi="仿宋_GB2312" w:cs="仿宋_GB2312"/>
          <w:sz w:val="32"/>
          <w:szCs w:val="32"/>
        </w:rPr>
        <w:t>.数字化时代诚信文化认同与培育研究</w:t>
      </w:r>
    </w:p>
    <w:p>
      <w:pPr>
        <w:adjustRightInd w:val="0"/>
        <w:snapToGrid w:val="0"/>
        <w:spacing w:line="560" w:lineRule="exact"/>
        <w:ind w:firstLine="640" w:firstLineChars="200"/>
        <w:rPr>
          <w:rFonts w:ascii="仿宋_GB2312" w:hAnsi="仿宋_GB2312" w:cs="仿宋_GB2312"/>
          <w:b/>
          <w:sz w:val="32"/>
          <w:szCs w:val="32"/>
        </w:rPr>
      </w:pPr>
      <w:r>
        <w:rPr>
          <w:rFonts w:hint="eastAsia" w:ascii="仿宋_GB2312" w:hAnsi="仿宋_GB2312" w:cs="仿宋_GB2312"/>
          <w:sz w:val="32"/>
          <w:szCs w:val="32"/>
        </w:rPr>
        <w:t>1</w:t>
      </w:r>
      <w:r>
        <w:rPr>
          <w:rFonts w:hint="eastAsia" w:ascii="仿宋_GB2312" w:hAnsi="仿宋_GB2312" w:cs="仿宋_GB2312"/>
          <w:sz w:val="32"/>
          <w:szCs w:val="32"/>
          <w:lang w:val="en-US" w:eastAsia="zh-CN"/>
        </w:rPr>
        <w:t>5</w:t>
      </w:r>
      <w:r>
        <w:rPr>
          <w:rFonts w:hint="eastAsia" w:ascii="仿宋_GB2312" w:hAnsi="仿宋_GB2312" w:cs="仿宋_GB2312"/>
          <w:sz w:val="32"/>
          <w:szCs w:val="32"/>
        </w:rPr>
        <w:t>.</w:t>
      </w:r>
      <w:r>
        <w:rPr>
          <w:rFonts w:hint="eastAsia" w:ascii="仿宋_GB2312" w:hAnsi="仿宋_GB2312" w:cs="仿宋_GB2312"/>
          <w:kern w:val="0"/>
          <w:sz w:val="32"/>
          <w:szCs w:val="32"/>
        </w:rPr>
        <w:t>中国特色监察制度体系和监察法治建设研究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w:t>
      </w:r>
      <w:r>
        <w:rPr>
          <w:rFonts w:hint="eastAsia" w:ascii="仿宋_GB2312" w:hAnsi="仿宋_GB2312" w:cs="仿宋_GB2312"/>
          <w:bCs/>
          <w:sz w:val="32"/>
          <w:szCs w:val="32"/>
          <w:lang w:val="en-US" w:eastAsia="zh-CN"/>
        </w:rPr>
        <w:t>6</w:t>
      </w:r>
      <w:r>
        <w:rPr>
          <w:rFonts w:hint="eastAsia" w:ascii="仿宋_GB2312" w:hAnsi="仿宋_GB2312" w:cs="仿宋_GB2312"/>
          <w:bCs/>
          <w:sz w:val="32"/>
          <w:szCs w:val="32"/>
        </w:rPr>
        <w:t>.青岛大中小学思想政治教育一体化建设研究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rPr>
        <w:t>1</w:t>
      </w:r>
      <w:r>
        <w:rPr>
          <w:rFonts w:hint="eastAsia" w:ascii="仿宋_GB2312" w:hAnsi="仿宋_GB2312" w:cs="仿宋_GB2312"/>
          <w:sz w:val="32"/>
          <w:szCs w:val="32"/>
          <w:lang w:val="en-US" w:eastAsia="zh-CN"/>
        </w:rPr>
        <w:t>7</w:t>
      </w:r>
      <w:r>
        <w:rPr>
          <w:rFonts w:hint="eastAsia" w:ascii="仿宋_GB2312" w:hAnsi="仿宋_GB2312" w:cs="仿宋_GB2312"/>
          <w:sz w:val="32"/>
          <w:szCs w:val="32"/>
        </w:rPr>
        <w:t>.青岛推进新时代共同富裕路径研究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rPr>
        <w:t>1</w:t>
      </w:r>
      <w:r>
        <w:rPr>
          <w:rFonts w:hint="eastAsia" w:ascii="仿宋_GB2312" w:hAnsi="仿宋_GB2312" w:cs="仿宋_GB2312"/>
          <w:sz w:val="32"/>
          <w:szCs w:val="32"/>
          <w:lang w:val="en-US" w:eastAsia="zh-CN"/>
        </w:rPr>
        <w:t>8</w:t>
      </w:r>
      <w:r>
        <w:rPr>
          <w:rFonts w:hint="eastAsia" w:ascii="仿宋_GB2312" w:hAnsi="仿宋_GB2312" w:cs="仿宋_GB2312"/>
          <w:sz w:val="32"/>
          <w:szCs w:val="32"/>
        </w:rPr>
        <w:t>.青岛发扬斗争精神应对风险挑战研究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rPr>
        <w:t>1</w:t>
      </w:r>
      <w:r>
        <w:rPr>
          <w:rFonts w:hint="eastAsia" w:ascii="仿宋_GB2312" w:hAnsi="仿宋_GB2312" w:cs="仿宋_GB2312"/>
          <w:sz w:val="32"/>
          <w:szCs w:val="32"/>
          <w:lang w:val="en-US" w:eastAsia="zh-CN"/>
        </w:rPr>
        <w:t>9</w:t>
      </w:r>
      <w:r>
        <w:rPr>
          <w:rFonts w:hint="eastAsia" w:ascii="仿宋_GB2312" w:hAnsi="仿宋_GB2312" w:cs="仿宋_GB2312"/>
          <w:sz w:val="32"/>
          <w:szCs w:val="32"/>
        </w:rPr>
        <w:t>.青岛发挥优势推动构建人类命运共同体战略研究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sz w:val="32"/>
          <w:szCs w:val="32"/>
        </w:rPr>
        <w:t>20.</w:t>
      </w:r>
      <w:r>
        <w:rPr>
          <w:rFonts w:hint="eastAsia" w:ascii="仿宋_GB2312" w:hAnsi="仿宋_GB2312" w:cs="仿宋_GB2312"/>
          <w:bCs/>
          <w:sz w:val="32"/>
          <w:szCs w:val="32"/>
        </w:rPr>
        <w:t>深化平安青岛建设研究</w:t>
      </w:r>
    </w:p>
    <w:p>
      <w:pPr>
        <w:adjustRightInd w:val="0"/>
        <w:snapToGrid w:val="0"/>
        <w:spacing w:line="560" w:lineRule="exact"/>
        <w:ind w:firstLine="640" w:firstLineChars="200"/>
        <w:rPr>
          <w:rFonts w:eastAsia="黑体" w:cs="楷体"/>
          <w:sz w:val="32"/>
          <w:szCs w:val="32"/>
          <w:highlight w:val="yellow"/>
        </w:rPr>
      </w:pPr>
      <w:r>
        <w:rPr>
          <w:rFonts w:hint="eastAsia" w:ascii="黑体" w:hAnsi="黑体" w:eastAsia="黑体" w:cs="黑体"/>
          <w:sz w:val="32"/>
          <w:szCs w:val="32"/>
        </w:rPr>
        <w:t>二、党史·党建</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rPr>
        <w:t>1.习近平总书记关于党的建设的重要思想研究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rPr>
        <w:t>2.中国共产党领导中国式现代化的基本经验研究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rPr>
        <w:t>3.中国式现代化进程中解决“大党独有难题”研究</w:t>
      </w:r>
      <w:bookmarkStart w:id="0" w:name="_GoBack"/>
      <w:bookmarkEnd w:id="0"/>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rPr>
        <w:t>4.中国共产党应对重大风险挑战的实践经验与能力建设研究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lang w:val="en-US" w:eastAsia="zh-CN"/>
        </w:rPr>
        <w:t>5</w:t>
      </w:r>
      <w:r>
        <w:rPr>
          <w:rFonts w:hint="eastAsia" w:ascii="仿宋_GB2312" w:hAnsi="仿宋_GB2312" w:cs="仿宋_GB2312"/>
          <w:sz w:val="32"/>
          <w:szCs w:val="32"/>
        </w:rPr>
        <w:t>.中国共产党领导统一战线的历史经验研究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lang w:val="en-US" w:eastAsia="zh-CN"/>
        </w:rPr>
        <w:t>6</w:t>
      </w:r>
      <w:r>
        <w:rPr>
          <w:rFonts w:hint="eastAsia" w:ascii="仿宋_GB2312" w:hAnsi="仿宋_GB2312" w:cs="仿宋_GB2312"/>
          <w:sz w:val="32"/>
          <w:szCs w:val="32"/>
        </w:rPr>
        <w:t>.群众路线在新时代的创新实践研究</w:t>
      </w:r>
    </w:p>
    <w:p>
      <w:pPr>
        <w:adjustRightInd w:val="0"/>
        <w:snapToGrid w:val="0"/>
        <w:spacing w:line="560" w:lineRule="exact"/>
        <w:ind w:firstLine="640" w:firstLineChars="200"/>
        <w:rPr>
          <w:rFonts w:hint="eastAsia" w:ascii="仿宋_GB2312" w:hAnsi="仿宋_GB2312" w:cs="仿宋_GB2312"/>
          <w:sz w:val="32"/>
          <w:szCs w:val="32"/>
        </w:rPr>
      </w:pPr>
      <w:r>
        <w:rPr>
          <w:rFonts w:hint="eastAsia" w:ascii="仿宋_GB2312" w:hAnsi="仿宋_GB2312" w:cs="仿宋_GB2312"/>
          <w:sz w:val="32"/>
          <w:szCs w:val="32"/>
          <w:lang w:val="en-US" w:eastAsia="zh-CN"/>
        </w:rPr>
        <w:t>7</w:t>
      </w:r>
      <w:r>
        <w:rPr>
          <w:rFonts w:hint="eastAsia" w:ascii="仿宋_GB2312" w:hAnsi="仿宋_GB2312" w:cs="仿宋_GB2312"/>
          <w:sz w:val="32"/>
          <w:szCs w:val="32"/>
        </w:rPr>
        <w:t>.弘扬伟大建党精神研究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lang w:val="en-US" w:eastAsia="zh-CN"/>
        </w:rPr>
        <w:t>8</w:t>
      </w:r>
      <w:r>
        <w:rPr>
          <w:rFonts w:hint="eastAsia" w:ascii="仿宋_GB2312" w:hAnsi="仿宋_GB2312" w:cs="仿宋_GB2312"/>
          <w:sz w:val="32"/>
          <w:szCs w:val="32"/>
        </w:rPr>
        <w:t>.中国共产党人精神谱系贯通研究</w:t>
      </w:r>
    </w:p>
    <w:p>
      <w:pPr>
        <w:adjustRightInd w:val="0"/>
        <w:snapToGrid w:val="0"/>
        <w:spacing w:line="560" w:lineRule="exact"/>
        <w:ind w:firstLine="640" w:firstLineChars="200"/>
        <w:rPr>
          <w:rFonts w:hint="eastAsia" w:ascii="仿宋_GB2312" w:hAnsi="仿宋_GB2312" w:cs="仿宋_GB2312"/>
          <w:sz w:val="32"/>
          <w:szCs w:val="32"/>
        </w:rPr>
      </w:pPr>
      <w:r>
        <w:rPr>
          <w:rFonts w:hint="eastAsia" w:ascii="仿宋_GB2312" w:hAnsi="仿宋_GB2312" w:cs="仿宋_GB2312"/>
          <w:sz w:val="32"/>
          <w:szCs w:val="32"/>
          <w:lang w:val="en-US" w:eastAsia="zh-CN"/>
        </w:rPr>
        <w:t>9</w:t>
      </w:r>
      <w:r>
        <w:rPr>
          <w:rFonts w:hint="eastAsia" w:ascii="仿宋_GB2312" w:hAnsi="仿宋_GB2312" w:cs="仿宋_GB2312"/>
          <w:sz w:val="32"/>
          <w:szCs w:val="32"/>
        </w:rPr>
        <w:t>.中国共产党的政治建设史与基本经验研究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lang w:val="en-US" w:eastAsia="zh-CN"/>
        </w:rPr>
        <w:t>10.</w:t>
      </w:r>
      <w:r>
        <w:rPr>
          <w:rFonts w:hint="eastAsia" w:ascii="仿宋_GB2312" w:hAnsi="仿宋_GB2312" w:cs="仿宋_GB2312"/>
          <w:sz w:val="32"/>
          <w:szCs w:val="32"/>
        </w:rPr>
        <w:t>中国共产党百年历程中的组织建设与革新研究</w:t>
      </w:r>
    </w:p>
    <w:p>
      <w:pPr>
        <w:adjustRightInd w:val="0"/>
        <w:snapToGrid w:val="0"/>
        <w:spacing w:line="560" w:lineRule="exact"/>
        <w:ind w:firstLine="640" w:firstLineChars="200"/>
        <w:rPr>
          <w:rFonts w:hint="default" w:ascii="仿宋_GB2312" w:hAnsi="仿宋_GB2312" w:eastAsia="仿宋_GB2312" w:cs="仿宋_GB2312"/>
          <w:sz w:val="32"/>
          <w:szCs w:val="32"/>
          <w:lang w:val="en-US" w:eastAsia="zh-CN"/>
        </w:rPr>
      </w:pPr>
      <w:r>
        <w:rPr>
          <w:rFonts w:hint="eastAsia" w:ascii="仿宋_GB2312" w:hAnsi="仿宋_GB2312" w:cs="仿宋_GB2312"/>
          <w:sz w:val="32"/>
          <w:szCs w:val="32"/>
          <w:lang w:val="en-US" w:eastAsia="zh-CN"/>
        </w:rPr>
        <w:t>11</w:t>
      </w:r>
      <w:r>
        <w:rPr>
          <w:rFonts w:hint="eastAsia" w:ascii="仿宋_GB2312" w:hAnsi="仿宋_GB2312" w:cs="仿宋_GB2312"/>
          <w:sz w:val="32"/>
          <w:szCs w:val="32"/>
        </w:rPr>
        <w:t>.</w:t>
      </w:r>
      <w:r>
        <w:rPr>
          <w:rFonts w:hint="eastAsia" w:ascii="仿宋_GB2312" w:hAnsi="仿宋_GB2312" w:cs="仿宋_GB2312"/>
          <w:sz w:val="32"/>
          <w:szCs w:val="32"/>
          <w:lang w:val="en-US" w:eastAsia="zh-CN"/>
        </w:rPr>
        <w:t>加强和改进流动党员管理研究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rPr>
        <w:t>1</w:t>
      </w:r>
      <w:r>
        <w:rPr>
          <w:rFonts w:hint="eastAsia" w:ascii="仿宋_GB2312" w:hAnsi="仿宋_GB2312" w:cs="仿宋_GB2312"/>
          <w:sz w:val="32"/>
          <w:szCs w:val="32"/>
          <w:lang w:val="en-US" w:eastAsia="zh-CN"/>
        </w:rPr>
        <w:t>2</w:t>
      </w:r>
      <w:r>
        <w:rPr>
          <w:rFonts w:hint="eastAsia" w:ascii="仿宋_GB2312" w:hAnsi="仿宋_GB2312" w:cs="仿宋_GB2312"/>
          <w:sz w:val="32"/>
          <w:szCs w:val="32"/>
        </w:rPr>
        <w:t>.健全全面从严治党体系研究</w:t>
      </w:r>
    </w:p>
    <w:p>
      <w:pPr>
        <w:adjustRightInd w:val="0"/>
        <w:snapToGrid w:val="0"/>
        <w:spacing w:line="560" w:lineRule="exact"/>
        <w:ind w:firstLine="640" w:firstLineChars="200"/>
        <w:rPr>
          <w:rFonts w:hint="eastAsia" w:ascii="仿宋_GB2312" w:hAnsi="仿宋_GB2312" w:cs="仿宋_GB2312"/>
          <w:sz w:val="32"/>
          <w:szCs w:val="32"/>
        </w:rPr>
      </w:pPr>
      <w:r>
        <w:rPr>
          <w:rFonts w:hint="eastAsia" w:ascii="仿宋_GB2312" w:hAnsi="仿宋_GB2312" w:cs="仿宋_GB2312"/>
          <w:sz w:val="32"/>
          <w:szCs w:val="32"/>
        </w:rPr>
        <w:t>1</w:t>
      </w:r>
      <w:r>
        <w:rPr>
          <w:rFonts w:hint="eastAsia" w:ascii="仿宋_GB2312" w:hAnsi="仿宋_GB2312" w:cs="仿宋_GB2312"/>
          <w:sz w:val="32"/>
          <w:szCs w:val="32"/>
          <w:lang w:val="en-US" w:eastAsia="zh-CN"/>
        </w:rPr>
        <w:t>3</w:t>
      </w:r>
      <w:r>
        <w:rPr>
          <w:rFonts w:hint="eastAsia" w:ascii="仿宋_GB2312" w:hAnsi="仿宋_GB2312" w:cs="仿宋_GB2312"/>
          <w:sz w:val="32"/>
          <w:szCs w:val="32"/>
        </w:rPr>
        <w:t>.中国共产党国际形象研究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rPr>
        <w:t>14.加强新经济组织、新社会组织、新就业群体党的建设研究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rPr>
        <w:t>15.数字赋能党建工作高质量发展的新模式新体系研究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rPr>
        <w:t>16.党建引领城市治理的青岛实践与经验研究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rPr>
        <w:t>17.青岛红色文化遗产的开发与优化研究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rPr>
        <w:t>18.青岛基层党组织的政治功能和组织功能研究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rPr>
        <w:t>19.青岛城市社区党建引领城市基层治理研究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rPr>
        <w:t>20.青岛基层党组织引领乡村振兴研究</w:t>
      </w:r>
    </w:p>
    <w:p>
      <w:pPr>
        <w:adjustRightInd w:val="0"/>
        <w:snapToGrid w:val="0"/>
        <w:spacing w:line="560" w:lineRule="exact"/>
        <w:ind w:firstLine="640" w:firstLineChars="200"/>
        <w:rPr>
          <w:rFonts w:ascii="黑体" w:hAnsi="黑体" w:eastAsia="黑体" w:cs="黑体"/>
          <w:sz w:val="32"/>
          <w:szCs w:val="32"/>
        </w:rPr>
      </w:pPr>
      <w:r>
        <w:rPr>
          <w:rFonts w:hint="eastAsia" w:ascii="黑体" w:hAnsi="黑体" w:eastAsia="黑体" w:cs="黑体"/>
          <w:sz w:val="32"/>
          <w:szCs w:val="32"/>
        </w:rPr>
        <w:t>三、哲学·政治学</w:t>
      </w:r>
    </w:p>
    <w:p>
      <w:pPr>
        <w:adjustRightInd w:val="0"/>
        <w:snapToGrid w:val="0"/>
        <w:spacing w:line="560" w:lineRule="exact"/>
        <w:ind w:firstLine="640" w:firstLineChars="200"/>
        <w:rPr>
          <w:rFonts w:ascii="仿宋_GB2312" w:hAnsi="仿宋_GB2312" w:cs="仿宋_GB2312"/>
          <w:color w:val="000000"/>
          <w:kern w:val="0"/>
          <w:sz w:val="32"/>
          <w:szCs w:val="32"/>
        </w:rPr>
      </w:pPr>
      <w:r>
        <w:rPr>
          <w:rFonts w:hint="eastAsia" w:ascii="仿宋_GB2312" w:hAnsi="仿宋_GB2312" w:cs="仿宋_GB2312"/>
          <w:color w:val="000000"/>
          <w:kern w:val="0"/>
          <w:sz w:val="32"/>
          <w:szCs w:val="32"/>
        </w:rPr>
        <w:t>1.中华文明特质与形态的中国哲学基础研究</w:t>
      </w:r>
    </w:p>
    <w:p>
      <w:pPr>
        <w:adjustRightInd w:val="0"/>
        <w:snapToGrid w:val="0"/>
        <w:spacing w:line="560" w:lineRule="exact"/>
        <w:ind w:firstLine="640" w:firstLineChars="200"/>
        <w:rPr>
          <w:rFonts w:ascii="仿宋_GB2312" w:hAnsi="仿宋_GB2312" w:cs="仿宋_GB2312"/>
          <w:color w:val="000000"/>
          <w:kern w:val="0"/>
          <w:sz w:val="32"/>
          <w:szCs w:val="32"/>
        </w:rPr>
      </w:pPr>
      <w:r>
        <w:rPr>
          <w:rFonts w:hint="eastAsia" w:ascii="仿宋_GB2312" w:hAnsi="仿宋_GB2312" w:cs="仿宋_GB2312"/>
          <w:color w:val="000000"/>
          <w:kern w:val="0"/>
          <w:sz w:val="32"/>
          <w:szCs w:val="32"/>
        </w:rPr>
        <w:t>2.人类命运共同体与人类文明新形态的哲学研究</w:t>
      </w:r>
    </w:p>
    <w:p>
      <w:pPr>
        <w:adjustRightInd w:val="0"/>
        <w:snapToGrid w:val="0"/>
        <w:spacing w:line="560" w:lineRule="exact"/>
        <w:ind w:firstLine="640" w:firstLineChars="200"/>
        <w:rPr>
          <w:rFonts w:ascii="仿宋_GB2312" w:hAnsi="仿宋_GB2312" w:cs="仿宋_GB2312"/>
          <w:color w:val="000000"/>
          <w:kern w:val="0"/>
          <w:sz w:val="32"/>
          <w:szCs w:val="32"/>
        </w:rPr>
      </w:pPr>
      <w:r>
        <w:rPr>
          <w:rFonts w:hint="eastAsia" w:ascii="仿宋_GB2312" w:hAnsi="仿宋_GB2312" w:cs="仿宋_GB2312"/>
          <w:color w:val="000000"/>
          <w:kern w:val="0"/>
          <w:sz w:val="32"/>
          <w:szCs w:val="32"/>
        </w:rPr>
        <w:t>3.传统哲学的现代阐释与重建研究</w:t>
      </w:r>
    </w:p>
    <w:p>
      <w:pPr>
        <w:adjustRightInd w:val="0"/>
        <w:snapToGrid w:val="0"/>
        <w:spacing w:line="560" w:lineRule="exact"/>
        <w:ind w:firstLine="640" w:firstLineChars="200"/>
        <w:rPr>
          <w:rFonts w:ascii="仿宋_GB2312" w:hAnsi="仿宋_GB2312" w:cs="仿宋_GB2312"/>
          <w:color w:val="000000"/>
          <w:kern w:val="0"/>
          <w:sz w:val="32"/>
          <w:szCs w:val="32"/>
        </w:rPr>
      </w:pPr>
      <w:r>
        <w:rPr>
          <w:rFonts w:hint="eastAsia" w:ascii="仿宋_GB2312" w:hAnsi="仿宋_GB2312" w:cs="仿宋_GB2312"/>
          <w:color w:val="000000"/>
          <w:kern w:val="0"/>
          <w:sz w:val="32"/>
          <w:szCs w:val="32"/>
        </w:rPr>
        <w:t>4.文明互鉴视野下的中西方哲学比较研究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5.马克思主义哲学前沿问题研究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6.当代中国马克思主义哲学理论体系研究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7.当代科技前沿重大问题的哲学研究</w:t>
      </w:r>
    </w:p>
    <w:p>
      <w:pPr>
        <w:adjustRightInd w:val="0"/>
        <w:snapToGrid w:val="0"/>
        <w:spacing w:line="560" w:lineRule="exact"/>
        <w:ind w:firstLine="616" w:firstLineChars="200"/>
        <w:rPr>
          <w:rFonts w:ascii="仿宋_GB2312" w:hAnsi="仿宋_GB2312" w:cs="仿宋_GB2312"/>
          <w:color w:val="000000"/>
          <w:spacing w:val="-6"/>
          <w:kern w:val="0"/>
          <w:sz w:val="32"/>
          <w:szCs w:val="32"/>
        </w:rPr>
      </w:pPr>
      <w:r>
        <w:rPr>
          <w:rFonts w:hint="eastAsia" w:ascii="仿宋_GB2312" w:hAnsi="仿宋_GB2312" w:cs="仿宋_GB2312"/>
          <w:color w:val="000000"/>
          <w:spacing w:val="-6"/>
          <w:kern w:val="0"/>
          <w:sz w:val="32"/>
          <w:szCs w:val="32"/>
        </w:rPr>
        <w:t>8.逻辑学、伦理学、科学技术哲学等最新学术进展及热点问题研究</w:t>
      </w:r>
    </w:p>
    <w:p>
      <w:pPr>
        <w:adjustRightInd w:val="0"/>
        <w:snapToGrid w:val="0"/>
        <w:spacing w:line="560" w:lineRule="exact"/>
        <w:ind w:firstLine="640" w:firstLineChars="200"/>
        <w:rPr>
          <w:rFonts w:ascii="仿宋_GB2312" w:hAnsi="仿宋_GB2312" w:cs="仿宋_GB2312"/>
          <w:color w:val="000000"/>
          <w:kern w:val="0"/>
          <w:sz w:val="32"/>
          <w:szCs w:val="32"/>
        </w:rPr>
      </w:pPr>
      <w:r>
        <w:rPr>
          <w:rFonts w:hint="eastAsia" w:ascii="仿宋_GB2312" w:hAnsi="仿宋_GB2312" w:cs="仿宋_GB2312"/>
          <w:color w:val="000000"/>
          <w:kern w:val="0"/>
          <w:sz w:val="32"/>
          <w:szCs w:val="32"/>
        </w:rPr>
        <w:t>9.新时代党和国家机构改革与职能优化研究</w:t>
      </w:r>
    </w:p>
    <w:p>
      <w:pPr>
        <w:adjustRightInd w:val="0"/>
        <w:snapToGrid w:val="0"/>
        <w:spacing w:line="560" w:lineRule="exact"/>
        <w:ind w:firstLine="640" w:firstLineChars="200"/>
        <w:rPr>
          <w:rFonts w:ascii="仿宋_GB2312" w:hAnsi="仿宋_GB2312" w:cs="仿宋_GB2312"/>
          <w:color w:val="000000"/>
          <w:kern w:val="0"/>
          <w:sz w:val="32"/>
          <w:szCs w:val="32"/>
        </w:rPr>
      </w:pPr>
      <w:r>
        <w:rPr>
          <w:rFonts w:hint="eastAsia" w:ascii="仿宋_GB2312" w:hAnsi="仿宋_GB2312" w:cs="仿宋_GB2312"/>
          <w:color w:val="000000"/>
          <w:kern w:val="0"/>
          <w:sz w:val="32"/>
          <w:szCs w:val="32"/>
        </w:rPr>
        <w:t>10.“中国之治”的理论构建与学理阐释研究</w:t>
      </w:r>
    </w:p>
    <w:p>
      <w:pPr>
        <w:adjustRightInd w:val="0"/>
        <w:snapToGrid w:val="0"/>
        <w:spacing w:line="560" w:lineRule="exact"/>
        <w:ind w:firstLine="640" w:firstLineChars="200"/>
        <w:rPr>
          <w:rFonts w:ascii="仿宋_GB2312" w:hAnsi="仿宋_GB2312" w:cs="仿宋_GB2312"/>
          <w:color w:val="000000"/>
          <w:kern w:val="0"/>
          <w:sz w:val="32"/>
          <w:szCs w:val="32"/>
        </w:rPr>
      </w:pPr>
      <w:r>
        <w:rPr>
          <w:rFonts w:hint="eastAsia" w:ascii="仿宋_GB2312" w:hAnsi="仿宋_GB2312" w:cs="仿宋_GB2312"/>
          <w:color w:val="000000"/>
          <w:kern w:val="0"/>
          <w:sz w:val="32"/>
          <w:szCs w:val="32"/>
        </w:rPr>
        <w:t>11.中国古代政治文明成果的创造性转化和创新性发展研究</w:t>
      </w:r>
    </w:p>
    <w:p>
      <w:pPr>
        <w:adjustRightInd w:val="0"/>
        <w:snapToGrid w:val="0"/>
        <w:spacing w:line="560" w:lineRule="exact"/>
        <w:ind w:firstLine="640" w:firstLineChars="200"/>
        <w:rPr>
          <w:rFonts w:ascii="仿宋_GB2312" w:hAnsi="仿宋_GB2312" w:cs="仿宋_GB2312"/>
          <w:color w:val="000000"/>
          <w:kern w:val="0"/>
          <w:sz w:val="32"/>
          <w:szCs w:val="32"/>
        </w:rPr>
      </w:pPr>
      <w:r>
        <w:rPr>
          <w:rFonts w:hint="eastAsia" w:ascii="仿宋_GB2312" w:hAnsi="仿宋_GB2312" w:cs="仿宋_GB2312"/>
          <w:color w:val="000000"/>
          <w:kern w:val="0"/>
          <w:sz w:val="32"/>
          <w:szCs w:val="32"/>
        </w:rPr>
        <w:t>12.新发展阶段的数智社会治理创新研究</w:t>
      </w:r>
    </w:p>
    <w:p>
      <w:pPr>
        <w:adjustRightInd w:val="0"/>
        <w:snapToGrid w:val="0"/>
        <w:spacing w:line="560" w:lineRule="exact"/>
        <w:ind w:firstLine="640" w:firstLineChars="200"/>
        <w:rPr>
          <w:rFonts w:ascii="仿宋_GB2312" w:hAnsi="仿宋_GB2312" w:cs="仿宋_GB2312"/>
          <w:color w:val="000000"/>
          <w:kern w:val="0"/>
          <w:sz w:val="32"/>
          <w:szCs w:val="32"/>
        </w:rPr>
      </w:pPr>
      <w:r>
        <w:rPr>
          <w:rFonts w:hint="eastAsia" w:ascii="仿宋_GB2312" w:hAnsi="仿宋_GB2312" w:cs="仿宋_GB2312"/>
          <w:color w:val="000000"/>
          <w:kern w:val="0"/>
          <w:sz w:val="32"/>
          <w:szCs w:val="32"/>
        </w:rPr>
        <w:t>13.新时代应急管理的理论创新与实践策略研究</w:t>
      </w:r>
    </w:p>
    <w:p>
      <w:pPr>
        <w:adjustRightInd w:val="0"/>
        <w:snapToGrid w:val="0"/>
        <w:spacing w:line="560" w:lineRule="exact"/>
        <w:ind w:firstLine="640" w:firstLineChars="200"/>
        <w:rPr>
          <w:rFonts w:ascii="仿宋_GB2312" w:hAnsi="仿宋_GB2312" w:cs="仿宋_GB2312"/>
          <w:color w:val="000000"/>
          <w:kern w:val="0"/>
          <w:sz w:val="32"/>
          <w:szCs w:val="32"/>
        </w:rPr>
      </w:pPr>
      <w:r>
        <w:rPr>
          <w:rFonts w:hint="eastAsia" w:ascii="仿宋_GB2312" w:hAnsi="仿宋_GB2312" w:cs="仿宋_GB2312"/>
          <w:color w:val="000000"/>
          <w:kern w:val="0"/>
          <w:sz w:val="32"/>
          <w:szCs w:val="32"/>
        </w:rPr>
        <w:t>14.总体国家安全观下安全风险防控体系建设研究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color w:val="000000"/>
          <w:kern w:val="0"/>
          <w:sz w:val="32"/>
          <w:szCs w:val="32"/>
        </w:rPr>
        <w:t>15.</w:t>
      </w:r>
      <w:r>
        <w:rPr>
          <w:rFonts w:hint="eastAsia" w:ascii="仿宋_GB2312" w:hAnsi="仿宋_GB2312" w:cs="仿宋_GB2312"/>
          <w:bCs/>
          <w:sz w:val="32"/>
          <w:szCs w:val="32"/>
        </w:rPr>
        <w:t>人工智能驱动科学的哲学基础研究</w:t>
      </w:r>
    </w:p>
    <w:p>
      <w:pPr>
        <w:adjustRightInd w:val="0"/>
        <w:snapToGrid w:val="0"/>
        <w:spacing w:line="560" w:lineRule="exact"/>
        <w:ind w:firstLine="640" w:firstLineChars="200"/>
        <w:rPr>
          <w:rFonts w:ascii="仿宋_GB2312" w:hAnsi="仿宋_GB2312" w:cs="仿宋_GB2312"/>
          <w:color w:val="000000"/>
          <w:kern w:val="0"/>
          <w:sz w:val="32"/>
          <w:szCs w:val="32"/>
        </w:rPr>
      </w:pPr>
      <w:r>
        <w:rPr>
          <w:rFonts w:hint="eastAsia" w:ascii="仿宋_GB2312" w:hAnsi="仿宋_GB2312" w:cs="仿宋_GB2312"/>
          <w:color w:val="000000"/>
          <w:kern w:val="0"/>
          <w:sz w:val="32"/>
          <w:szCs w:val="32"/>
        </w:rPr>
        <w:t>16.新型政商关系研究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17.新时代全面发展协商民主研究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18.完善党的大统战工作格局研究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19.数字健康的社会风险及伦理治理研究</w:t>
      </w:r>
    </w:p>
    <w:p>
      <w:pPr>
        <w:adjustRightInd w:val="0"/>
        <w:snapToGrid w:val="0"/>
        <w:spacing w:line="560" w:lineRule="exact"/>
        <w:ind w:firstLine="640" w:firstLineChars="200"/>
        <w:rPr>
          <w:rFonts w:cs="楷体"/>
          <w:bCs/>
          <w:sz w:val="32"/>
          <w:szCs w:val="32"/>
        </w:rPr>
      </w:pPr>
      <w:r>
        <w:rPr>
          <w:rFonts w:hint="eastAsia" w:ascii="仿宋_GB2312" w:hAnsi="仿宋_GB2312" w:cs="仿宋_GB2312"/>
          <w:bCs/>
          <w:sz w:val="32"/>
          <w:szCs w:val="32"/>
        </w:rPr>
        <w:t>20.当代西方社会思潮研究</w:t>
      </w:r>
    </w:p>
    <w:p>
      <w:pPr>
        <w:adjustRightInd w:val="0"/>
        <w:snapToGrid w:val="0"/>
        <w:spacing w:line="560" w:lineRule="exact"/>
        <w:ind w:left="640"/>
        <w:rPr>
          <w:rFonts w:eastAsia="黑体" w:cs="楷体"/>
          <w:sz w:val="32"/>
          <w:szCs w:val="32"/>
          <w:highlight w:val="yellow"/>
        </w:rPr>
      </w:pPr>
      <w:r>
        <w:rPr>
          <w:rFonts w:hint="eastAsia" w:ascii="黑体" w:hAnsi="黑体" w:eastAsia="黑体" w:cs="黑体"/>
          <w:sz w:val="32"/>
          <w:szCs w:val="32"/>
        </w:rPr>
        <w:t>四、法学·社会学</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1.习近平法治思想研究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2.马克思主义法治思想中国化时代化研究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3.人工智能背景下的法治应对研究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4</w:t>
      </w:r>
      <w:r>
        <w:rPr>
          <w:rFonts w:hint="eastAsia" w:ascii="仿宋_GB2312" w:hAnsi="仿宋_GB2312" w:cs="仿宋_GB2312"/>
          <w:bCs/>
          <w:sz w:val="32"/>
          <w:szCs w:val="32"/>
        </w:rPr>
        <w:t>.优秀传统文化与法治文化建设研究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5</w:t>
      </w:r>
      <w:r>
        <w:rPr>
          <w:rFonts w:hint="eastAsia" w:ascii="仿宋_GB2312" w:hAnsi="仿宋_GB2312" w:cs="仿宋_GB2312"/>
          <w:bCs/>
          <w:sz w:val="32"/>
          <w:szCs w:val="32"/>
        </w:rPr>
        <w:t>.《历代刑法志》新时代法治价值研究</w:t>
      </w:r>
    </w:p>
    <w:p>
      <w:pPr>
        <w:adjustRightInd w:val="0"/>
        <w:snapToGrid w:val="0"/>
        <w:spacing w:line="560" w:lineRule="exact"/>
        <w:ind w:firstLine="640" w:firstLineChars="200"/>
        <w:rPr>
          <w:rFonts w:hint="eastAsia" w:ascii="仿宋_GB2312" w:hAnsi="仿宋_GB2312" w:cs="仿宋_GB2312"/>
          <w:color w:val="000000"/>
          <w:kern w:val="0"/>
          <w:sz w:val="32"/>
          <w:szCs w:val="32"/>
        </w:rPr>
      </w:pPr>
      <w:r>
        <w:rPr>
          <w:rFonts w:hint="eastAsia" w:ascii="仿宋_GB2312" w:hAnsi="仿宋_GB2312" w:cs="仿宋_GB2312"/>
          <w:sz w:val="32"/>
          <w:szCs w:val="32"/>
          <w:lang w:val="en-US" w:eastAsia="zh-CN"/>
        </w:rPr>
        <w:t>6</w:t>
      </w:r>
      <w:r>
        <w:rPr>
          <w:rFonts w:hint="eastAsia" w:ascii="仿宋_GB2312" w:hAnsi="仿宋_GB2312" w:cs="仿宋_GB2312"/>
          <w:sz w:val="32"/>
          <w:szCs w:val="32"/>
        </w:rPr>
        <w:t>.</w:t>
      </w:r>
      <w:r>
        <w:rPr>
          <w:rFonts w:hint="eastAsia" w:ascii="仿宋_GB2312" w:hAnsi="仿宋_GB2312" w:cs="仿宋_GB2312"/>
          <w:color w:val="000000"/>
          <w:kern w:val="0"/>
          <w:sz w:val="32"/>
          <w:szCs w:val="32"/>
        </w:rPr>
        <w:t>新时代坚持党的文化领导权的法治保障研究</w:t>
      </w:r>
    </w:p>
    <w:p>
      <w:pPr>
        <w:adjustRightInd w:val="0"/>
        <w:snapToGrid w:val="0"/>
        <w:spacing w:line="560" w:lineRule="exact"/>
        <w:ind w:firstLine="640" w:firstLineChars="200"/>
        <w:rPr>
          <w:rFonts w:hint="eastAsia" w:ascii="仿宋_GB2312" w:hAnsi="仿宋_GB2312" w:cs="仿宋_GB2312"/>
          <w:bCs/>
          <w:sz w:val="32"/>
          <w:szCs w:val="32"/>
        </w:rPr>
      </w:pPr>
      <w:r>
        <w:rPr>
          <w:rFonts w:hint="eastAsia" w:ascii="仿宋_GB2312" w:hAnsi="仿宋_GB2312" w:cs="仿宋_GB2312"/>
          <w:bCs/>
          <w:sz w:val="32"/>
          <w:szCs w:val="32"/>
          <w:lang w:val="en-US" w:eastAsia="zh-CN"/>
        </w:rPr>
        <w:t>7</w:t>
      </w:r>
      <w:r>
        <w:rPr>
          <w:rFonts w:hint="eastAsia" w:ascii="仿宋_GB2312" w:hAnsi="仿宋_GB2312" w:cs="仿宋_GB2312"/>
          <w:bCs/>
          <w:sz w:val="32"/>
          <w:szCs w:val="32"/>
        </w:rPr>
        <w:t>.数字产业化与高质量发展法治保障研究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8</w:t>
      </w:r>
      <w:r>
        <w:rPr>
          <w:rFonts w:hint="eastAsia" w:ascii="仿宋_GB2312" w:hAnsi="仿宋_GB2312" w:cs="仿宋_GB2312"/>
          <w:bCs/>
          <w:sz w:val="32"/>
          <w:szCs w:val="32"/>
        </w:rPr>
        <w:t>.优化青岛营商环境的法治保障研究</w:t>
      </w:r>
    </w:p>
    <w:p>
      <w:pPr>
        <w:adjustRightInd w:val="0"/>
        <w:snapToGrid w:val="0"/>
        <w:spacing w:line="560" w:lineRule="exact"/>
        <w:ind w:firstLine="640" w:firstLineChars="200"/>
        <w:rPr>
          <w:rFonts w:hint="eastAsia" w:ascii="仿宋_GB2312" w:hAnsi="仿宋_GB2312" w:cs="仿宋_GB2312"/>
          <w:bCs/>
          <w:sz w:val="32"/>
          <w:szCs w:val="32"/>
        </w:rPr>
      </w:pPr>
      <w:r>
        <w:rPr>
          <w:rFonts w:hint="eastAsia" w:ascii="仿宋_GB2312" w:hAnsi="仿宋_GB2312" w:cs="仿宋_GB2312"/>
          <w:bCs/>
          <w:sz w:val="32"/>
          <w:szCs w:val="32"/>
          <w:lang w:val="en-US" w:eastAsia="zh-CN"/>
        </w:rPr>
        <w:t>9</w:t>
      </w:r>
      <w:r>
        <w:rPr>
          <w:rFonts w:hint="eastAsia" w:ascii="仿宋_GB2312" w:hAnsi="仿宋_GB2312" w:cs="仿宋_GB2312"/>
          <w:bCs/>
          <w:sz w:val="32"/>
          <w:szCs w:val="32"/>
        </w:rPr>
        <w:t>.青岛金融重点领域和新兴领域立法研究</w:t>
      </w:r>
    </w:p>
    <w:p>
      <w:pPr>
        <w:adjustRightInd w:val="0"/>
        <w:snapToGrid w:val="0"/>
        <w:spacing w:line="560" w:lineRule="exact"/>
        <w:ind w:firstLine="640" w:firstLineChars="200"/>
        <w:rPr>
          <w:rFonts w:hint="eastAsia" w:ascii="仿宋_GB2312" w:hAnsi="仿宋_GB2312" w:cs="仿宋_GB2312"/>
          <w:bCs/>
          <w:sz w:val="32"/>
          <w:szCs w:val="32"/>
        </w:rPr>
      </w:pPr>
      <w:r>
        <w:rPr>
          <w:rFonts w:hint="eastAsia" w:ascii="仿宋_GB2312" w:hAnsi="仿宋_GB2312" w:cs="仿宋_GB2312"/>
          <w:bCs/>
          <w:sz w:val="32"/>
          <w:szCs w:val="32"/>
        </w:rPr>
        <w:t>1</w:t>
      </w:r>
      <w:r>
        <w:rPr>
          <w:rFonts w:hint="eastAsia" w:ascii="仿宋_GB2312" w:hAnsi="仿宋_GB2312" w:cs="仿宋_GB2312"/>
          <w:bCs/>
          <w:sz w:val="32"/>
          <w:szCs w:val="32"/>
          <w:lang w:val="en-US" w:eastAsia="zh-CN"/>
        </w:rPr>
        <w:t>0</w:t>
      </w:r>
      <w:r>
        <w:rPr>
          <w:rFonts w:hint="eastAsia" w:ascii="仿宋_GB2312" w:hAnsi="仿宋_GB2312" w:cs="仿宋_GB2312"/>
          <w:bCs/>
          <w:sz w:val="32"/>
          <w:szCs w:val="32"/>
        </w:rPr>
        <w:t>.青岛老龄社会治理政策与法律问题研究</w:t>
      </w:r>
    </w:p>
    <w:p>
      <w:pPr>
        <w:adjustRightInd w:val="0"/>
        <w:snapToGrid w:val="0"/>
        <w:spacing w:line="560" w:lineRule="exact"/>
        <w:ind w:firstLine="640" w:firstLineChars="200"/>
        <w:rPr>
          <w:rFonts w:hint="default" w:ascii="仿宋_GB2312" w:hAnsi="仿宋_GB2312" w:eastAsia="仿宋_GB2312" w:cs="仿宋_GB2312"/>
          <w:bCs/>
          <w:sz w:val="32"/>
          <w:szCs w:val="32"/>
          <w:lang w:val="en-US" w:eastAsia="zh-CN"/>
        </w:rPr>
      </w:pPr>
      <w:r>
        <w:rPr>
          <w:rFonts w:hint="eastAsia" w:ascii="仿宋_GB2312" w:hAnsi="仿宋_GB2312" w:cs="仿宋_GB2312"/>
          <w:bCs/>
          <w:sz w:val="32"/>
          <w:szCs w:val="32"/>
          <w:lang w:val="en-US" w:eastAsia="zh-CN"/>
        </w:rPr>
        <w:t>11.依法多元化解社会矛盾纠纷的青岛实践研究</w:t>
      </w:r>
    </w:p>
    <w:p>
      <w:pPr>
        <w:adjustRightInd w:val="0"/>
        <w:snapToGrid w:val="0"/>
        <w:spacing w:line="560" w:lineRule="exact"/>
        <w:ind w:firstLine="640" w:firstLineChars="200"/>
        <w:rPr>
          <w:rFonts w:hint="eastAsia" w:ascii="仿宋_GB2312" w:hAnsi="仿宋_GB2312" w:cs="仿宋_GB2312"/>
          <w:color w:val="000000"/>
          <w:kern w:val="0"/>
          <w:sz w:val="32"/>
          <w:szCs w:val="32"/>
        </w:rPr>
      </w:pPr>
      <w:r>
        <w:rPr>
          <w:rFonts w:hint="eastAsia" w:ascii="仿宋_GB2312" w:hAnsi="仿宋_GB2312" w:cs="仿宋_GB2312"/>
          <w:color w:val="000000"/>
          <w:kern w:val="0"/>
          <w:sz w:val="32"/>
          <w:szCs w:val="32"/>
          <w:lang w:val="en-US" w:eastAsia="zh-CN"/>
        </w:rPr>
        <w:t>12</w:t>
      </w:r>
      <w:r>
        <w:rPr>
          <w:rFonts w:hint="eastAsia" w:ascii="仿宋_GB2312" w:hAnsi="仿宋_GB2312" w:cs="仿宋_GB2312"/>
          <w:color w:val="000000"/>
          <w:kern w:val="0"/>
          <w:sz w:val="32"/>
          <w:szCs w:val="32"/>
        </w:rPr>
        <w:t>.中国式社会治理现代化指标体系研究</w:t>
      </w:r>
    </w:p>
    <w:p>
      <w:pPr>
        <w:adjustRightInd w:val="0"/>
        <w:snapToGrid w:val="0"/>
        <w:spacing w:line="560" w:lineRule="exact"/>
        <w:ind w:firstLine="640" w:firstLineChars="200"/>
        <w:rPr>
          <w:rFonts w:ascii="仿宋_GB2312" w:hAnsi="仿宋_GB2312" w:cs="仿宋_GB2312"/>
          <w:color w:val="000000"/>
          <w:kern w:val="0"/>
          <w:sz w:val="32"/>
          <w:szCs w:val="32"/>
        </w:rPr>
      </w:pPr>
      <w:r>
        <w:rPr>
          <w:rFonts w:hint="eastAsia" w:ascii="仿宋_GB2312" w:hAnsi="仿宋_GB2312" w:cs="仿宋_GB2312"/>
          <w:bCs/>
          <w:sz w:val="32"/>
          <w:szCs w:val="32"/>
        </w:rPr>
        <w:t>1</w:t>
      </w:r>
      <w:r>
        <w:rPr>
          <w:rFonts w:hint="eastAsia" w:ascii="仿宋_GB2312" w:hAnsi="仿宋_GB2312" w:cs="仿宋_GB2312"/>
          <w:bCs/>
          <w:sz w:val="32"/>
          <w:szCs w:val="32"/>
          <w:lang w:val="en-US" w:eastAsia="zh-CN"/>
        </w:rPr>
        <w:t>3</w:t>
      </w:r>
      <w:r>
        <w:rPr>
          <w:rFonts w:hint="eastAsia" w:ascii="仿宋_GB2312" w:hAnsi="仿宋_GB2312" w:cs="仿宋_GB2312"/>
          <w:bCs/>
          <w:sz w:val="32"/>
          <w:szCs w:val="32"/>
        </w:rPr>
        <w:t>.</w:t>
      </w:r>
      <w:r>
        <w:rPr>
          <w:rFonts w:hint="eastAsia" w:ascii="仿宋_GB2312" w:hAnsi="仿宋_GB2312" w:cs="仿宋_GB2312"/>
          <w:color w:val="000000"/>
          <w:kern w:val="0"/>
          <w:sz w:val="32"/>
          <w:szCs w:val="32"/>
        </w:rPr>
        <w:t>新时代“枫桥经验”对我市基层社会治理的经验启示研究</w:t>
      </w:r>
    </w:p>
    <w:p>
      <w:pPr>
        <w:adjustRightInd w:val="0"/>
        <w:snapToGrid w:val="0"/>
        <w:spacing w:line="560" w:lineRule="exact"/>
        <w:ind w:firstLine="640" w:firstLineChars="200"/>
        <w:rPr>
          <w:rFonts w:hint="eastAsia" w:ascii="仿宋_GB2312" w:hAnsi="仿宋_GB2312" w:cs="仿宋_GB2312"/>
          <w:bCs/>
          <w:sz w:val="32"/>
          <w:szCs w:val="32"/>
        </w:rPr>
      </w:pPr>
      <w:r>
        <w:rPr>
          <w:rFonts w:hint="eastAsia" w:ascii="仿宋_GB2312" w:hAnsi="仿宋_GB2312" w:cs="仿宋_GB2312"/>
          <w:sz w:val="32"/>
          <w:szCs w:val="32"/>
          <w:lang w:val="en-US" w:eastAsia="zh-CN"/>
        </w:rPr>
        <w:t>14</w:t>
      </w:r>
      <w:r>
        <w:rPr>
          <w:rFonts w:hint="eastAsia" w:ascii="仿宋_GB2312" w:hAnsi="仿宋_GB2312" w:cs="仿宋_GB2312"/>
          <w:sz w:val="32"/>
          <w:szCs w:val="32"/>
        </w:rPr>
        <w:t>.青岛</w:t>
      </w:r>
      <w:r>
        <w:rPr>
          <w:rFonts w:hint="eastAsia" w:ascii="仿宋_GB2312" w:hAnsi="仿宋_GB2312" w:cs="仿宋_GB2312"/>
          <w:bCs/>
          <w:sz w:val="32"/>
          <w:szCs w:val="32"/>
        </w:rPr>
        <w:t>基层社会治理经验与创新研究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lang w:val="en-US" w:eastAsia="zh-CN"/>
        </w:rPr>
        <w:t>15</w:t>
      </w:r>
      <w:r>
        <w:rPr>
          <w:rFonts w:hint="eastAsia" w:ascii="仿宋_GB2312" w:hAnsi="仿宋_GB2312" w:cs="仿宋_GB2312"/>
          <w:sz w:val="32"/>
          <w:szCs w:val="32"/>
        </w:rPr>
        <w:t>.新时代青岛社会工作体系创新研究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sz w:val="32"/>
          <w:szCs w:val="32"/>
          <w:lang w:val="en-US" w:eastAsia="zh-CN"/>
        </w:rPr>
        <w:t>16</w:t>
      </w:r>
      <w:r>
        <w:rPr>
          <w:rFonts w:hint="eastAsia" w:ascii="仿宋_GB2312" w:hAnsi="仿宋_GB2312" w:cs="仿宋_GB2312"/>
          <w:sz w:val="32"/>
          <w:szCs w:val="32"/>
        </w:rPr>
        <w:t>.青岛</w:t>
      </w:r>
      <w:r>
        <w:rPr>
          <w:rFonts w:hint="eastAsia" w:ascii="仿宋_GB2312" w:hAnsi="仿宋_GB2312" w:cs="仿宋_GB2312"/>
          <w:bCs/>
          <w:sz w:val="32"/>
          <w:szCs w:val="32"/>
        </w:rPr>
        <w:t>志愿服务质量评价体系及信息化应用研究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lang w:val="en-US" w:eastAsia="zh-CN"/>
        </w:rPr>
        <w:t>17.</w:t>
      </w:r>
      <w:r>
        <w:rPr>
          <w:rFonts w:hint="eastAsia" w:ascii="仿宋_GB2312" w:hAnsi="仿宋_GB2312" w:cs="仿宋_GB2312"/>
          <w:sz w:val="32"/>
          <w:szCs w:val="32"/>
        </w:rPr>
        <w:t>青岛市分类完善灵活就业服务保障措施研究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sz w:val="32"/>
          <w:szCs w:val="32"/>
        </w:rPr>
        <w:t>1</w:t>
      </w:r>
      <w:r>
        <w:rPr>
          <w:rFonts w:hint="eastAsia" w:ascii="仿宋_GB2312" w:hAnsi="仿宋_GB2312" w:cs="仿宋_GB2312"/>
          <w:sz w:val="32"/>
          <w:szCs w:val="32"/>
          <w:lang w:val="en-US" w:eastAsia="zh-CN"/>
        </w:rPr>
        <w:t>8</w:t>
      </w:r>
      <w:r>
        <w:rPr>
          <w:rFonts w:hint="eastAsia" w:ascii="仿宋_GB2312" w:hAnsi="仿宋_GB2312" w:cs="仿宋_GB2312"/>
          <w:sz w:val="32"/>
          <w:szCs w:val="32"/>
        </w:rPr>
        <w:t>.</w:t>
      </w:r>
      <w:r>
        <w:rPr>
          <w:rFonts w:hint="eastAsia" w:ascii="仿宋_GB2312" w:hAnsi="仿宋_GB2312" w:cs="仿宋_GB2312"/>
          <w:bCs/>
          <w:sz w:val="32"/>
          <w:szCs w:val="32"/>
        </w:rPr>
        <w:t>青岛新就业形态及其韧性治理研究</w:t>
      </w:r>
    </w:p>
    <w:p>
      <w:pPr>
        <w:adjustRightInd w:val="0"/>
        <w:snapToGrid w:val="0"/>
        <w:spacing w:line="560" w:lineRule="exact"/>
        <w:ind w:firstLine="640" w:firstLineChars="200"/>
        <w:rPr>
          <w:rFonts w:ascii="仿宋_GB2312" w:hAnsi="仿宋_GB2312" w:cs="仿宋_GB2312"/>
          <w:color w:val="000000"/>
          <w:kern w:val="0"/>
          <w:sz w:val="32"/>
          <w:szCs w:val="32"/>
        </w:rPr>
      </w:pPr>
      <w:r>
        <w:rPr>
          <w:rFonts w:hint="eastAsia" w:ascii="仿宋_GB2312" w:hAnsi="仿宋_GB2312" w:cs="仿宋_GB2312"/>
          <w:bCs/>
          <w:sz w:val="32"/>
          <w:szCs w:val="32"/>
        </w:rPr>
        <w:t>1</w:t>
      </w:r>
      <w:r>
        <w:rPr>
          <w:rFonts w:hint="eastAsia" w:ascii="仿宋_GB2312" w:hAnsi="仿宋_GB2312" w:cs="仿宋_GB2312"/>
          <w:bCs/>
          <w:sz w:val="32"/>
          <w:szCs w:val="32"/>
          <w:lang w:val="en-US" w:eastAsia="zh-CN"/>
        </w:rPr>
        <w:t>9</w:t>
      </w:r>
      <w:r>
        <w:rPr>
          <w:rFonts w:hint="eastAsia" w:ascii="仿宋_GB2312" w:hAnsi="仿宋_GB2312" w:cs="仿宋_GB2312"/>
          <w:bCs/>
          <w:sz w:val="32"/>
          <w:szCs w:val="32"/>
        </w:rPr>
        <w:t>.</w:t>
      </w:r>
      <w:r>
        <w:rPr>
          <w:rFonts w:hint="eastAsia" w:ascii="仿宋_GB2312" w:hAnsi="仿宋_GB2312" w:cs="仿宋_GB2312"/>
          <w:color w:val="000000"/>
          <w:kern w:val="0"/>
          <w:sz w:val="32"/>
          <w:szCs w:val="32"/>
        </w:rPr>
        <w:t>新时代青年婚恋观与人口发展政策研究</w:t>
      </w:r>
    </w:p>
    <w:p>
      <w:pPr>
        <w:adjustRightInd w:val="0"/>
        <w:snapToGrid w:val="0"/>
        <w:spacing w:line="560" w:lineRule="exact"/>
        <w:ind w:firstLine="640" w:firstLineChars="200"/>
        <w:rPr>
          <w:rFonts w:ascii="仿宋_GB2312" w:hAnsi="仿宋_GB2312" w:cs="仿宋_GB2312"/>
          <w:color w:val="000000"/>
          <w:kern w:val="0"/>
          <w:sz w:val="32"/>
          <w:szCs w:val="32"/>
        </w:rPr>
      </w:pPr>
      <w:r>
        <w:rPr>
          <w:rFonts w:hint="eastAsia" w:ascii="仿宋_GB2312" w:hAnsi="仿宋_GB2312" w:cs="仿宋_GB2312"/>
          <w:color w:val="000000"/>
          <w:kern w:val="0"/>
          <w:sz w:val="32"/>
          <w:szCs w:val="32"/>
          <w:lang w:val="en-US" w:eastAsia="zh-CN"/>
        </w:rPr>
        <w:t>20</w:t>
      </w:r>
      <w:r>
        <w:rPr>
          <w:rFonts w:hint="eastAsia" w:ascii="仿宋_GB2312" w:hAnsi="仿宋_GB2312" w:cs="仿宋_GB2312"/>
          <w:color w:val="000000"/>
          <w:kern w:val="0"/>
          <w:sz w:val="32"/>
          <w:szCs w:val="32"/>
        </w:rPr>
        <w:t>.网络暴力、网络侵权与网络治理研究</w:t>
      </w:r>
    </w:p>
    <w:p>
      <w:pPr>
        <w:adjustRightInd w:val="0"/>
        <w:snapToGrid w:val="0"/>
        <w:spacing w:line="560" w:lineRule="exact"/>
        <w:ind w:left="640"/>
        <w:rPr>
          <w:rFonts w:ascii="黑体" w:hAnsi="黑体" w:eastAsia="黑体" w:cs="黑体"/>
          <w:sz w:val="32"/>
          <w:szCs w:val="32"/>
        </w:rPr>
      </w:pPr>
      <w:r>
        <w:rPr>
          <w:rFonts w:hint="eastAsia" w:ascii="黑体" w:hAnsi="黑体" w:eastAsia="黑体" w:cs="黑体"/>
          <w:sz w:val="32"/>
          <w:szCs w:val="32"/>
        </w:rPr>
        <w:t>五、经济学</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1.习近平经济思想研究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2.习近平总书记关于高质量发展重要论述研究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3.新质生产力与建设现代化产业体系研究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color w:val="000000"/>
          <w:kern w:val="0"/>
          <w:sz w:val="32"/>
          <w:szCs w:val="32"/>
        </w:rPr>
        <w:t>4.区域协调发展与新质生产力布局研究</w:t>
      </w:r>
    </w:p>
    <w:p>
      <w:pPr>
        <w:adjustRightInd w:val="0"/>
        <w:snapToGrid w:val="0"/>
        <w:spacing w:line="560" w:lineRule="exact"/>
        <w:ind w:firstLine="640" w:firstLineChars="200"/>
        <w:rPr>
          <w:rFonts w:ascii="仿宋_GB2312" w:hAnsi="仿宋_GB2312" w:cs="仿宋_GB2312"/>
          <w:color w:val="000000"/>
          <w:kern w:val="0"/>
          <w:sz w:val="32"/>
          <w:szCs w:val="32"/>
        </w:rPr>
      </w:pPr>
      <w:r>
        <w:rPr>
          <w:rFonts w:hint="eastAsia" w:ascii="仿宋_GB2312" w:hAnsi="仿宋_GB2312" w:cs="仿宋_GB2312"/>
          <w:bCs/>
          <w:sz w:val="32"/>
          <w:szCs w:val="32"/>
        </w:rPr>
        <w:t>5.</w:t>
      </w:r>
      <w:r>
        <w:rPr>
          <w:rFonts w:hint="eastAsia" w:ascii="仿宋_GB2312" w:hAnsi="仿宋_GB2312" w:cs="仿宋_GB2312"/>
          <w:color w:val="000000"/>
          <w:kern w:val="0"/>
          <w:sz w:val="32"/>
          <w:szCs w:val="32"/>
        </w:rPr>
        <w:t>青岛突破发展集成电路产业链研究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6.青岛提高招商引资质效研究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7.“双支柱”国际税改方案对青岛进一步扩大对外开放的机遇与挑战</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8.青岛低空经济发展研究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9.青岛扶持生物医药和医疗器械新兴产业发展研究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10.青岛新能源产业研究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11.青岛市软件和信息服务产业链高质量发展研究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12.培育壮大青岛新兴制造业研究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13.青岛聚力发展人工智能产业研究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14.青岛推动智能家电产业集群高质量发展研究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15.青岛提升海洋经济竞争力研究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16.青岛提升产业链供应链韧性和安全水平研究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17.青岛纵深推进新旧动能转换构建现代化产业体系研究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18.科技创新引领现代化产业体系建设的青岛思考</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19.青岛激发民营经济活力研究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20.青岛新一轮国际市场开拓路径研究</w:t>
      </w:r>
    </w:p>
    <w:p>
      <w:pPr>
        <w:adjustRightInd w:val="0"/>
        <w:snapToGrid w:val="0"/>
        <w:spacing w:line="560" w:lineRule="exact"/>
        <w:ind w:left="640"/>
        <w:rPr>
          <w:rFonts w:ascii="黑体" w:hAnsi="黑体" w:eastAsia="黑体" w:cs="黑体"/>
          <w:sz w:val="32"/>
          <w:szCs w:val="32"/>
        </w:rPr>
      </w:pPr>
      <w:r>
        <w:rPr>
          <w:rFonts w:hint="eastAsia" w:ascii="黑体" w:hAnsi="黑体" w:eastAsia="黑体" w:cs="黑体"/>
          <w:sz w:val="32"/>
          <w:szCs w:val="32"/>
        </w:rPr>
        <w:t>六、管理学</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1.习近平生态文明思想研究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2.现代服务业与先进制造业深度融合研究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3.新质生产力的系统解析与动力机制研究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4.新质生产力促进政府和企业数字化转型的路径研究</w:t>
      </w:r>
    </w:p>
    <w:p>
      <w:pPr>
        <w:adjustRightInd w:val="0"/>
        <w:snapToGrid w:val="0"/>
        <w:spacing w:line="560" w:lineRule="exact"/>
        <w:ind w:firstLine="640" w:firstLineChars="200"/>
        <w:rPr>
          <w:rFonts w:ascii="仿宋_GB2312" w:hAnsi="仿宋_GB2312" w:cs="仿宋_GB2312"/>
          <w:color w:val="000000"/>
          <w:kern w:val="0"/>
          <w:sz w:val="32"/>
          <w:szCs w:val="32"/>
        </w:rPr>
      </w:pPr>
      <w:r>
        <w:rPr>
          <w:rFonts w:hint="eastAsia" w:ascii="仿宋_GB2312" w:hAnsi="仿宋_GB2312" w:cs="仿宋_GB2312"/>
          <w:bCs/>
          <w:sz w:val="32"/>
          <w:szCs w:val="32"/>
        </w:rPr>
        <w:t>5.</w:t>
      </w:r>
      <w:r>
        <w:rPr>
          <w:rFonts w:hint="eastAsia" w:ascii="仿宋_GB2312" w:hAnsi="仿宋_GB2312" w:cs="仿宋_GB2312"/>
          <w:color w:val="000000"/>
          <w:kern w:val="0"/>
          <w:sz w:val="32"/>
          <w:szCs w:val="32"/>
        </w:rPr>
        <w:t>现代金融风险的化解机制与管理机制研究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6.加快推动青岛都市圈建设研究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7.绿色低碳高质量发展的青岛路径研究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bCs/>
          <w:sz w:val="32"/>
          <w:szCs w:val="32"/>
        </w:rPr>
        <w:t>8.</w:t>
      </w:r>
      <w:r>
        <w:rPr>
          <w:rFonts w:hint="eastAsia" w:ascii="仿宋_GB2312" w:hAnsi="仿宋_GB2312" w:cs="仿宋_GB2312"/>
          <w:sz w:val="32"/>
          <w:szCs w:val="32"/>
        </w:rPr>
        <w:t>“莱西经验”与中国乡村治理现代化间的关系研究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bCs/>
          <w:sz w:val="32"/>
          <w:szCs w:val="32"/>
        </w:rPr>
        <w:t>9.</w:t>
      </w:r>
      <w:r>
        <w:rPr>
          <w:rFonts w:hint="eastAsia" w:ascii="仿宋_GB2312" w:hAnsi="仿宋_GB2312" w:cs="仿宋_GB2312"/>
          <w:sz w:val="32"/>
          <w:szCs w:val="32"/>
        </w:rPr>
        <w:t>面向上合组织国家开展经贸合作堵点难点研究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10.数字赋能高质量发展的青岛路径研究</w:t>
      </w:r>
    </w:p>
    <w:p>
      <w:pPr>
        <w:adjustRightInd w:val="0"/>
        <w:snapToGrid w:val="0"/>
        <w:spacing w:line="560" w:lineRule="exact"/>
        <w:ind w:firstLine="640" w:firstLineChars="200"/>
        <w:rPr>
          <w:rFonts w:hint="eastAsia" w:ascii="仿宋_GB2312" w:hAnsi="仿宋_GB2312" w:cs="仿宋_GB2312"/>
          <w:bCs/>
          <w:sz w:val="32"/>
          <w:szCs w:val="32"/>
        </w:rPr>
      </w:pPr>
      <w:r>
        <w:rPr>
          <w:rFonts w:hint="eastAsia" w:ascii="仿宋_GB2312" w:hAnsi="仿宋_GB2312" w:cs="仿宋_GB2312"/>
          <w:bCs/>
          <w:sz w:val="32"/>
          <w:szCs w:val="32"/>
        </w:rPr>
        <w:t>11.现代化农业社会化服务的组织模式及发展路径研究</w:t>
      </w:r>
    </w:p>
    <w:p>
      <w:pPr>
        <w:adjustRightInd w:val="0"/>
        <w:snapToGrid w:val="0"/>
        <w:spacing w:line="560" w:lineRule="exact"/>
        <w:ind w:firstLine="640" w:firstLineChars="200"/>
        <w:rPr>
          <w:rFonts w:hint="eastAsia" w:ascii="仿宋_GB2312" w:hAnsi="仿宋_GB2312" w:cs="仿宋_GB2312"/>
          <w:bCs/>
          <w:sz w:val="32"/>
          <w:szCs w:val="32"/>
        </w:rPr>
      </w:pPr>
      <w:r>
        <w:rPr>
          <w:rFonts w:hint="eastAsia" w:ascii="仿宋_GB2312" w:hAnsi="仿宋_GB2312" w:cs="仿宋_GB2312"/>
          <w:bCs/>
          <w:sz w:val="32"/>
          <w:szCs w:val="32"/>
        </w:rPr>
        <w:t>12.</w:t>
      </w:r>
      <w:r>
        <w:rPr>
          <w:rFonts w:hint="default" w:ascii="仿宋_GB2312" w:hAnsi="仿宋_GB2312" w:cs="仿宋_GB2312"/>
          <w:bCs/>
          <w:sz w:val="32"/>
          <w:szCs w:val="32"/>
          <w:lang w:val="en-US" w:eastAsia="zh-CN"/>
        </w:rPr>
        <w:t>农业发展与国家粮食安全保障机制研究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lang w:val="en-US" w:eastAsia="zh-CN"/>
        </w:rPr>
        <w:t>13.</w:t>
      </w:r>
      <w:r>
        <w:rPr>
          <w:rFonts w:hint="eastAsia" w:ascii="仿宋_GB2312" w:hAnsi="仿宋_GB2312" w:cs="仿宋_GB2312"/>
          <w:sz w:val="32"/>
          <w:szCs w:val="32"/>
        </w:rPr>
        <w:t>上合示范区建设发展评价指标体系研究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w:t>
      </w:r>
      <w:r>
        <w:rPr>
          <w:rFonts w:hint="eastAsia" w:ascii="仿宋_GB2312" w:hAnsi="仿宋_GB2312" w:cs="仿宋_GB2312"/>
          <w:bCs/>
          <w:sz w:val="32"/>
          <w:szCs w:val="32"/>
          <w:lang w:val="en-US" w:eastAsia="zh-CN"/>
        </w:rPr>
        <w:t>4</w:t>
      </w:r>
      <w:r>
        <w:rPr>
          <w:rFonts w:hint="eastAsia" w:ascii="仿宋_GB2312" w:hAnsi="仿宋_GB2312" w:cs="仿宋_GB2312"/>
          <w:bCs/>
          <w:sz w:val="32"/>
          <w:szCs w:val="32"/>
        </w:rPr>
        <w:t>.青岛企业债务风险精准识别与调控研究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w:t>
      </w:r>
      <w:r>
        <w:rPr>
          <w:rFonts w:hint="eastAsia" w:ascii="仿宋_GB2312" w:hAnsi="仿宋_GB2312" w:cs="仿宋_GB2312"/>
          <w:bCs/>
          <w:sz w:val="32"/>
          <w:szCs w:val="32"/>
          <w:lang w:val="en-US" w:eastAsia="zh-CN"/>
        </w:rPr>
        <w:t>5</w:t>
      </w:r>
      <w:r>
        <w:rPr>
          <w:rFonts w:hint="eastAsia" w:ascii="仿宋_GB2312" w:hAnsi="仿宋_GB2312" w:cs="仿宋_GB2312"/>
          <w:bCs/>
          <w:sz w:val="32"/>
          <w:szCs w:val="32"/>
        </w:rPr>
        <w:t>.青岛高层次人才结构与布局优化研究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1</w:t>
      </w:r>
      <w:r>
        <w:rPr>
          <w:rFonts w:hint="eastAsia" w:ascii="仿宋_GB2312" w:hAnsi="仿宋_GB2312" w:cs="仿宋_GB2312"/>
          <w:bCs/>
          <w:sz w:val="32"/>
          <w:szCs w:val="32"/>
        </w:rPr>
        <w:t>6.青岛国际门户枢纽城市建设研究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17.青岛引领型现代海洋城市建设研究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18.数字时代青岛城市精细化管理研究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19.青岛市村庄结构优化调整后的基层社会治理研究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20.青岛城市森林生物多样性评估与优化路径研究</w:t>
      </w:r>
    </w:p>
    <w:p>
      <w:pPr>
        <w:adjustRightInd w:val="0"/>
        <w:snapToGrid w:val="0"/>
        <w:spacing w:line="560" w:lineRule="exact"/>
        <w:ind w:left="640"/>
        <w:rPr>
          <w:rFonts w:ascii="黑体" w:hAnsi="黑体" w:eastAsia="黑体" w:cs="黑体"/>
          <w:sz w:val="32"/>
          <w:szCs w:val="32"/>
        </w:rPr>
      </w:pPr>
      <w:r>
        <w:rPr>
          <w:rFonts w:hint="eastAsia" w:ascii="黑体" w:hAnsi="黑体" w:eastAsia="黑体" w:cs="黑体"/>
          <w:sz w:val="32"/>
          <w:szCs w:val="32"/>
        </w:rPr>
        <w:t>七、历史学·文献学</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1.世界文明起源与中国比较研究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2.世界历史视阈下的人类命运共同体研究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3.东夷文化与中华文明多样性研究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4.山东地区黄河文化遗产保护利用研究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5</w:t>
      </w:r>
      <w:r>
        <w:rPr>
          <w:rFonts w:hint="eastAsia" w:ascii="仿宋_GB2312" w:hAnsi="仿宋_GB2312" w:cs="仿宋_GB2312"/>
          <w:bCs/>
          <w:sz w:val="32"/>
          <w:szCs w:val="32"/>
        </w:rPr>
        <w:t>.西方国家税制与社会发展研究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6</w:t>
      </w:r>
      <w:r>
        <w:rPr>
          <w:rFonts w:hint="eastAsia" w:ascii="仿宋_GB2312" w:hAnsi="仿宋_GB2312" w:cs="仿宋_GB2312"/>
          <w:bCs/>
          <w:sz w:val="32"/>
          <w:szCs w:val="32"/>
        </w:rPr>
        <w:t>.古代东亚文明及世界意义研究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7</w:t>
      </w:r>
      <w:r>
        <w:rPr>
          <w:rFonts w:hint="eastAsia" w:ascii="仿宋_GB2312" w:hAnsi="仿宋_GB2312" w:cs="仿宋_GB2312"/>
          <w:bCs/>
          <w:sz w:val="32"/>
          <w:szCs w:val="32"/>
        </w:rPr>
        <w:t>.东南亚国家政治史与外交史研究</w:t>
      </w:r>
    </w:p>
    <w:p>
      <w:pPr>
        <w:adjustRightInd w:val="0"/>
        <w:snapToGrid w:val="0"/>
        <w:spacing w:line="560" w:lineRule="exact"/>
        <w:ind w:firstLine="640" w:firstLineChars="200"/>
        <w:rPr>
          <w:rFonts w:hint="eastAsia" w:ascii="仿宋_GB2312" w:hAnsi="仿宋_GB2312" w:cs="仿宋_GB2312"/>
          <w:bCs/>
          <w:sz w:val="32"/>
          <w:szCs w:val="32"/>
        </w:rPr>
      </w:pPr>
      <w:r>
        <w:rPr>
          <w:rFonts w:hint="eastAsia" w:ascii="仿宋_GB2312" w:hAnsi="仿宋_GB2312" w:cs="仿宋_GB2312"/>
          <w:bCs/>
          <w:sz w:val="32"/>
          <w:szCs w:val="32"/>
          <w:lang w:val="en-US" w:eastAsia="zh-CN"/>
        </w:rPr>
        <w:t>8</w:t>
      </w:r>
      <w:r>
        <w:rPr>
          <w:rFonts w:hint="eastAsia" w:ascii="仿宋_GB2312" w:hAnsi="仿宋_GB2312" w:cs="仿宋_GB2312"/>
          <w:bCs/>
          <w:sz w:val="32"/>
          <w:szCs w:val="32"/>
        </w:rPr>
        <w:t>.古代朝鲜史研究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9</w:t>
      </w:r>
      <w:r>
        <w:rPr>
          <w:rFonts w:hint="eastAsia" w:ascii="仿宋_GB2312" w:hAnsi="仿宋_GB2312" w:cs="仿宋_GB2312"/>
          <w:bCs/>
          <w:sz w:val="32"/>
          <w:szCs w:val="32"/>
        </w:rPr>
        <w:t>.图书馆运行效率与提升路径研究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w:t>
      </w:r>
      <w:r>
        <w:rPr>
          <w:rFonts w:hint="eastAsia" w:ascii="仿宋_GB2312" w:hAnsi="仿宋_GB2312" w:cs="仿宋_GB2312"/>
          <w:bCs/>
          <w:sz w:val="32"/>
          <w:szCs w:val="32"/>
          <w:lang w:val="en-US" w:eastAsia="zh-CN"/>
        </w:rPr>
        <w:t>0</w:t>
      </w:r>
      <w:r>
        <w:rPr>
          <w:rFonts w:hint="eastAsia" w:ascii="仿宋_GB2312" w:hAnsi="仿宋_GB2312" w:cs="仿宋_GB2312"/>
          <w:bCs/>
          <w:sz w:val="32"/>
          <w:szCs w:val="32"/>
        </w:rPr>
        <w:t>.城市历史文化资源活化利用及“夜文化”创新发展研究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w:t>
      </w:r>
      <w:r>
        <w:rPr>
          <w:rFonts w:hint="eastAsia" w:ascii="仿宋_GB2312" w:hAnsi="仿宋_GB2312" w:cs="仿宋_GB2312"/>
          <w:bCs/>
          <w:sz w:val="32"/>
          <w:szCs w:val="32"/>
          <w:lang w:val="en-US" w:eastAsia="zh-CN"/>
        </w:rPr>
        <w:t>1</w:t>
      </w:r>
      <w:r>
        <w:rPr>
          <w:rFonts w:hint="eastAsia" w:ascii="仿宋_GB2312" w:hAnsi="仿宋_GB2312" w:cs="仿宋_GB2312"/>
          <w:bCs/>
          <w:sz w:val="32"/>
          <w:szCs w:val="32"/>
        </w:rPr>
        <w:t>.中国式现代化进程中的乡村文化变迁研究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12</w:t>
      </w:r>
      <w:r>
        <w:rPr>
          <w:rFonts w:hint="eastAsia" w:ascii="仿宋_GB2312" w:hAnsi="仿宋_GB2312" w:cs="仿宋_GB2312"/>
          <w:bCs/>
          <w:sz w:val="32"/>
          <w:szCs w:val="32"/>
        </w:rPr>
        <w:t>.海派文化的历史流变和新时代创新发展研究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13</w:t>
      </w:r>
      <w:r>
        <w:rPr>
          <w:rFonts w:hint="eastAsia" w:ascii="仿宋_GB2312" w:hAnsi="仿宋_GB2312" w:cs="仿宋_GB2312"/>
          <w:bCs/>
          <w:sz w:val="32"/>
          <w:szCs w:val="32"/>
        </w:rPr>
        <w:t>.青岛海洋发展史与海上丝绸之路研究</w:t>
      </w:r>
    </w:p>
    <w:p>
      <w:pPr>
        <w:adjustRightInd w:val="0"/>
        <w:snapToGrid w:val="0"/>
        <w:spacing w:line="560" w:lineRule="exact"/>
        <w:ind w:firstLine="640" w:firstLineChars="200"/>
        <w:rPr>
          <w:rFonts w:hint="eastAsia" w:ascii="仿宋_GB2312" w:hAnsi="仿宋_GB2312" w:cs="仿宋_GB2312"/>
          <w:bCs/>
          <w:sz w:val="32"/>
          <w:szCs w:val="32"/>
        </w:rPr>
      </w:pPr>
      <w:r>
        <w:rPr>
          <w:rFonts w:hint="eastAsia" w:ascii="仿宋_GB2312" w:hAnsi="仿宋_GB2312" w:cs="仿宋_GB2312"/>
          <w:bCs/>
          <w:sz w:val="32"/>
          <w:szCs w:val="32"/>
          <w:lang w:val="en-US" w:eastAsia="zh-CN"/>
        </w:rPr>
        <w:t>14</w:t>
      </w:r>
      <w:r>
        <w:rPr>
          <w:rFonts w:hint="eastAsia" w:ascii="仿宋_GB2312" w:hAnsi="仿宋_GB2312" w:cs="仿宋_GB2312"/>
          <w:bCs/>
          <w:sz w:val="32"/>
          <w:szCs w:val="32"/>
        </w:rPr>
        <w:t>.青岛非物质文化遗产保护与传承发展研究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15.</w:t>
      </w:r>
      <w:r>
        <w:rPr>
          <w:rFonts w:hint="eastAsia" w:ascii="仿宋_GB2312" w:hAnsi="仿宋_GB2312" w:cs="仿宋_GB2312"/>
          <w:bCs/>
          <w:sz w:val="32"/>
          <w:szCs w:val="32"/>
        </w:rPr>
        <w:t>青岛市重要遗址资料整理与研究</w:t>
      </w:r>
    </w:p>
    <w:p>
      <w:pPr>
        <w:adjustRightInd w:val="0"/>
        <w:snapToGrid w:val="0"/>
        <w:spacing w:line="560" w:lineRule="exact"/>
        <w:ind w:firstLine="640" w:firstLineChars="200"/>
        <w:rPr>
          <w:rFonts w:hint="eastAsia" w:ascii="仿宋_GB2312" w:hAnsi="仿宋_GB2312" w:cs="仿宋_GB2312"/>
          <w:bCs/>
          <w:sz w:val="32"/>
          <w:szCs w:val="32"/>
        </w:rPr>
      </w:pPr>
      <w:r>
        <w:rPr>
          <w:rFonts w:hint="eastAsia" w:ascii="仿宋_GB2312" w:hAnsi="仿宋_GB2312" w:cs="仿宋_GB2312"/>
          <w:bCs/>
          <w:sz w:val="32"/>
          <w:szCs w:val="32"/>
        </w:rPr>
        <w:t>1</w:t>
      </w:r>
      <w:r>
        <w:rPr>
          <w:rFonts w:hint="eastAsia" w:ascii="仿宋_GB2312" w:hAnsi="仿宋_GB2312" w:cs="仿宋_GB2312"/>
          <w:bCs/>
          <w:sz w:val="32"/>
          <w:szCs w:val="32"/>
          <w:lang w:val="en-US" w:eastAsia="zh-CN"/>
        </w:rPr>
        <w:t>6</w:t>
      </w:r>
      <w:r>
        <w:rPr>
          <w:rFonts w:hint="eastAsia" w:ascii="仿宋_GB2312" w:hAnsi="仿宋_GB2312" w:cs="仿宋_GB2312"/>
          <w:bCs/>
          <w:sz w:val="32"/>
          <w:szCs w:val="32"/>
        </w:rPr>
        <w:t>.青岛文物保护和利用机制研究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lang w:val="en-US" w:eastAsia="zh-CN"/>
        </w:rPr>
        <w:t>17.</w:t>
      </w:r>
      <w:r>
        <w:rPr>
          <w:rFonts w:hint="eastAsia" w:ascii="仿宋_GB2312" w:hAnsi="仿宋_GB2312" w:cs="仿宋_GB2312"/>
          <w:sz w:val="32"/>
          <w:szCs w:val="32"/>
        </w:rPr>
        <w:t>新时期青岛市方志资源的探索与利用研究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18.</w:t>
      </w:r>
      <w:r>
        <w:rPr>
          <w:rFonts w:hint="eastAsia" w:ascii="仿宋_GB2312" w:hAnsi="仿宋_GB2312" w:cs="仿宋_GB2312"/>
          <w:bCs/>
          <w:sz w:val="32"/>
          <w:szCs w:val="32"/>
        </w:rPr>
        <w:t>青岛地方档案文献整理与研究</w:t>
      </w:r>
    </w:p>
    <w:p>
      <w:pPr>
        <w:adjustRightInd w:val="0"/>
        <w:snapToGrid w:val="0"/>
        <w:spacing w:line="560" w:lineRule="exact"/>
        <w:ind w:firstLine="640" w:firstLineChars="200"/>
        <w:rPr>
          <w:rFonts w:ascii="仿宋_GB2312" w:hAnsi="仿宋_GB2312" w:cs="仿宋_GB2312"/>
          <w:color w:val="000000"/>
          <w:kern w:val="0"/>
          <w:sz w:val="32"/>
          <w:szCs w:val="32"/>
        </w:rPr>
      </w:pPr>
      <w:r>
        <w:rPr>
          <w:rFonts w:hint="eastAsia" w:ascii="仿宋_GB2312" w:hAnsi="仿宋_GB2312" w:cs="仿宋_GB2312"/>
          <w:bCs/>
          <w:sz w:val="32"/>
          <w:szCs w:val="32"/>
        </w:rPr>
        <w:t>1</w:t>
      </w:r>
      <w:r>
        <w:rPr>
          <w:rFonts w:hint="eastAsia" w:ascii="仿宋_GB2312" w:hAnsi="仿宋_GB2312" w:cs="仿宋_GB2312"/>
          <w:bCs/>
          <w:sz w:val="32"/>
          <w:szCs w:val="32"/>
          <w:lang w:val="en-US" w:eastAsia="zh-CN"/>
        </w:rPr>
        <w:t>9</w:t>
      </w:r>
      <w:r>
        <w:rPr>
          <w:rFonts w:hint="eastAsia" w:ascii="仿宋_GB2312" w:hAnsi="仿宋_GB2312" w:cs="仿宋_GB2312"/>
          <w:bCs/>
          <w:sz w:val="32"/>
          <w:szCs w:val="32"/>
        </w:rPr>
        <w:t>.</w:t>
      </w:r>
      <w:r>
        <w:rPr>
          <w:rFonts w:hint="eastAsia" w:ascii="仿宋_GB2312" w:hAnsi="仿宋_GB2312" w:cs="仿宋_GB2312"/>
          <w:color w:val="000000"/>
          <w:kern w:val="0"/>
          <w:sz w:val="32"/>
          <w:szCs w:val="32"/>
        </w:rPr>
        <w:t>文化“两创”视野下的青岛民俗文化传承与创新研究</w:t>
      </w:r>
    </w:p>
    <w:p>
      <w:pPr>
        <w:adjustRightInd w:val="0"/>
        <w:snapToGrid w:val="0"/>
        <w:spacing w:line="560" w:lineRule="exact"/>
        <w:ind w:firstLine="640" w:firstLineChars="200"/>
        <w:rPr>
          <w:rFonts w:ascii="仿宋_GB2312" w:hAnsi="仿宋_GB2312" w:cs="仿宋_GB2312"/>
          <w:sz w:val="32"/>
          <w:szCs w:val="32"/>
        </w:rPr>
      </w:pPr>
      <w:r>
        <w:rPr>
          <w:rFonts w:hint="eastAsia" w:ascii="仿宋_GB2312" w:hAnsi="仿宋_GB2312" w:cs="仿宋_GB2312"/>
          <w:sz w:val="32"/>
          <w:szCs w:val="32"/>
          <w:lang w:val="en-US" w:eastAsia="zh-CN"/>
        </w:rPr>
        <w:t>20</w:t>
      </w:r>
      <w:r>
        <w:rPr>
          <w:rFonts w:hint="eastAsia" w:ascii="仿宋_GB2312" w:hAnsi="仿宋_GB2312" w:cs="仿宋_GB2312"/>
          <w:sz w:val="32"/>
          <w:szCs w:val="32"/>
        </w:rPr>
        <w:t>.青岛地区革命文化资源协同发展研究</w:t>
      </w:r>
    </w:p>
    <w:p>
      <w:pPr>
        <w:adjustRightInd w:val="0"/>
        <w:snapToGrid w:val="0"/>
        <w:spacing w:line="560" w:lineRule="exact"/>
        <w:ind w:firstLine="640" w:firstLineChars="200"/>
        <w:rPr>
          <w:rFonts w:ascii="黑体" w:hAnsi="黑体" w:eastAsia="黑体" w:cs="黑体"/>
          <w:sz w:val="32"/>
          <w:szCs w:val="32"/>
        </w:rPr>
      </w:pPr>
      <w:r>
        <w:rPr>
          <w:rFonts w:hint="eastAsia" w:ascii="黑体" w:hAnsi="黑体" w:eastAsia="黑体" w:cs="黑体"/>
          <w:sz w:val="32"/>
          <w:szCs w:val="32"/>
        </w:rPr>
        <w:t>八、文学·艺术学</w:t>
      </w:r>
    </w:p>
    <w:p>
      <w:pPr>
        <w:adjustRightInd w:val="0"/>
        <w:snapToGrid w:val="0"/>
        <w:spacing w:line="560" w:lineRule="exact"/>
        <w:ind w:firstLine="640" w:firstLineChars="200"/>
        <w:rPr>
          <w:rFonts w:hint="eastAsia" w:ascii="仿宋_GB2312" w:hAnsi="仿宋_GB2312" w:cs="仿宋_GB2312"/>
          <w:bCs/>
          <w:sz w:val="32"/>
          <w:szCs w:val="32"/>
        </w:rPr>
      </w:pPr>
      <w:r>
        <w:rPr>
          <w:rFonts w:hint="eastAsia" w:ascii="仿宋_GB2312" w:hAnsi="仿宋_GB2312" w:cs="仿宋_GB2312"/>
          <w:bCs/>
          <w:sz w:val="32"/>
          <w:szCs w:val="32"/>
        </w:rPr>
        <w:t>1.习近平文化思想与中国文学基本理论研究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2</w:t>
      </w:r>
      <w:r>
        <w:rPr>
          <w:rFonts w:hint="eastAsia" w:ascii="仿宋_GB2312" w:hAnsi="仿宋_GB2312" w:cs="仿宋_GB2312"/>
          <w:bCs/>
          <w:sz w:val="32"/>
          <w:szCs w:val="32"/>
        </w:rPr>
        <w:t>.习近平文化思想引领新时代文艺发展研究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3</w:t>
      </w:r>
      <w:r>
        <w:rPr>
          <w:rFonts w:hint="eastAsia" w:ascii="仿宋_GB2312" w:hAnsi="仿宋_GB2312" w:cs="仿宋_GB2312"/>
          <w:bCs/>
          <w:sz w:val="32"/>
          <w:szCs w:val="32"/>
        </w:rPr>
        <w:t>.中国文学理论话语体系构建研究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4</w:t>
      </w:r>
      <w:r>
        <w:rPr>
          <w:rFonts w:hint="eastAsia" w:ascii="仿宋_GB2312" w:hAnsi="仿宋_GB2312" w:cs="仿宋_GB2312"/>
          <w:bCs/>
          <w:sz w:val="32"/>
          <w:szCs w:val="32"/>
        </w:rPr>
        <w:t>.新时代文学创作与批评研究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5</w:t>
      </w:r>
      <w:r>
        <w:rPr>
          <w:rFonts w:hint="eastAsia" w:ascii="仿宋_GB2312" w:hAnsi="仿宋_GB2312" w:cs="仿宋_GB2312"/>
          <w:bCs/>
          <w:sz w:val="32"/>
          <w:szCs w:val="32"/>
        </w:rPr>
        <w:t>.中西方文学比较研究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6.儒家文化与中国古代文学经典研究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7</w:t>
      </w:r>
      <w:r>
        <w:rPr>
          <w:rFonts w:hint="eastAsia" w:ascii="仿宋_GB2312" w:hAnsi="仿宋_GB2312" w:cs="仿宋_GB2312"/>
          <w:bCs/>
          <w:sz w:val="32"/>
          <w:szCs w:val="32"/>
        </w:rPr>
        <w:t>.传统艺术创造性转化与创新性发展研究</w:t>
      </w:r>
    </w:p>
    <w:p>
      <w:pPr>
        <w:adjustRightInd w:val="0"/>
        <w:snapToGrid w:val="0"/>
        <w:spacing w:line="560" w:lineRule="exact"/>
        <w:ind w:firstLine="640" w:firstLineChars="200"/>
        <w:rPr>
          <w:rFonts w:hint="eastAsia" w:ascii="仿宋_GB2312" w:hAnsi="仿宋_GB2312" w:cs="仿宋_GB2312"/>
          <w:bCs/>
          <w:sz w:val="32"/>
          <w:szCs w:val="32"/>
        </w:rPr>
      </w:pPr>
      <w:r>
        <w:rPr>
          <w:rFonts w:hint="eastAsia" w:ascii="仿宋_GB2312" w:hAnsi="仿宋_GB2312" w:cs="仿宋_GB2312"/>
          <w:bCs/>
          <w:sz w:val="32"/>
          <w:szCs w:val="32"/>
          <w:lang w:val="en-US" w:eastAsia="zh-CN"/>
        </w:rPr>
        <w:t>8</w:t>
      </w:r>
      <w:r>
        <w:rPr>
          <w:rFonts w:hint="eastAsia" w:ascii="仿宋_GB2312" w:hAnsi="仿宋_GB2312" w:cs="仿宋_GB2312"/>
          <w:bCs/>
          <w:sz w:val="32"/>
          <w:szCs w:val="32"/>
        </w:rPr>
        <w:t>.文学艺术发展与中国式现代化研究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9</w:t>
      </w:r>
      <w:r>
        <w:rPr>
          <w:rFonts w:hint="eastAsia" w:ascii="仿宋_GB2312" w:hAnsi="仿宋_GB2312" w:cs="仿宋_GB2312"/>
          <w:bCs/>
          <w:sz w:val="32"/>
          <w:szCs w:val="32"/>
        </w:rPr>
        <w:t>.当代文艺批评理论和实践问题研究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w:t>
      </w:r>
      <w:r>
        <w:rPr>
          <w:rFonts w:hint="eastAsia" w:ascii="仿宋_GB2312" w:hAnsi="仿宋_GB2312" w:cs="仿宋_GB2312"/>
          <w:bCs/>
          <w:sz w:val="32"/>
          <w:szCs w:val="32"/>
          <w:lang w:val="en-US" w:eastAsia="zh-CN"/>
        </w:rPr>
        <w:t>0</w:t>
      </w:r>
      <w:r>
        <w:rPr>
          <w:rFonts w:hint="eastAsia" w:ascii="仿宋_GB2312" w:hAnsi="仿宋_GB2312" w:cs="仿宋_GB2312"/>
          <w:bCs/>
          <w:sz w:val="32"/>
          <w:szCs w:val="32"/>
        </w:rPr>
        <w:t>.当代网络小说的流行因素研究</w:t>
      </w:r>
    </w:p>
    <w:p>
      <w:pPr>
        <w:adjustRightInd w:val="0"/>
        <w:snapToGrid w:val="0"/>
        <w:spacing w:line="560" w:lineRule="exact"/>
        <w:ind w:firstLine="640" w:firstLineChars="200"/>
        <w:rPr>
          <w:rFonts w:hint="eastAsia" w:ascii="仿宋_GB2312" w:hAnsi="仿宋_GB2312" w:cs="仿宋_GB2312"/>
          <w:bCs/>
          <w:sz w:val="32"/>
          <w:szCs w:val="32"/>
        </w:rPr>
      </w:pPr>
      <w:r>
        <w:rPr>
          <w:rFonts w:hint="eastAsia" w:ascii="仿宋_GB2312" w:hAnsi="仿宋_GB2312" w:cs="仿宋_GB2312"/>
          <w:bCs/>
          <w:sz w:val="32"/>
          <w:szCs w:val="32"/>
        </w:rPr>
        <w:t>1</w:t>
      </w:r>
      <w:r>
        <w:rPr>
          <w:rFonts w:hint="eastAsia" w:ascii="仿宋_GB2312" w:hAnsi="仿宋_GB2312" w:cs="仿宋_GB2312"/>
          <w:bCs/>
          <w:sz w:val="32"/>
          <w:szCs w:val="32"/>
          <w:lang w:val="en-US" w:eastAsia="zh-CN"/>
        </w:rPr>
        <w:t>1</w:t>
      </w:r>
      <w:r>
        <w:rPr>
          <w:rFonts w:hint="eastAsia" w:ascii="仿宋_GB2312" w:hAnsi="仿宋_GB2312" w:cs="仿宋_GB2312"/>
          <w:bCs/>
          <w:sz w:val="32"/>
          <w:szCs w:val="32"/>
        </w:rPr>
        <w:t>.人工智能时代文学发展研究</w:t>
      </w:r>
    </w:p>
    <w:p>
      <w:pPr>
        <w:adjustRightInd w:val="0"/>
        <w:snapToGrid w:val="0"/>
        <w:spacing w:line="560" w:lineRule="exact"/>
        <w:ind w:firstLine="640" w:firstLineChars="200"/>
        <w:rPr>
          <w:rFonts w:hint="eastAsia" w:ascii="仿宋_GB2312" w:hAnsi="仿宋_GB2312" w:cs="仿宋_GB2312"/>
          <w:bCs/>
          <w:sz w:val="32"/>
          <w:szCs w:val="32"/>
        </w:rPr>
      </w:pPr>
      <w:r>
        <w:rPr>
          <w:rFonts w:hint="eastAsia" w:ascii="仿宋_GB2312" w:hAnsi="仿宋_GB2312" w:cs="仿宋_GB2312"/>
          <w:bCs/>
          <w:sz w:val="32"/>
          <w:szCs w:val="32"/>
          <w:lang w:val="en-US" w:eastAsia="zh-CN"/>
        </w:rPr>
        <w:t>12.</w:t>
      </w:r>
      <w:r>
        <w:rPr>
          <w:rFonts w:hint="eastAsia" w:ascii="仿宋_GB2312" w:hAnsi="仿宋_GB2312" w:cs="仿宋_GB2312"/>
          <w:bCs/>
          <w:sz w:val="32"/>
          <w:szCs w:val="32"/>
        </w:rPr>
        <w:t>全球流行文化中的文学现象研究</w:t>
      </w:r>
    </w:p>
    <w:p>
      <w:pPr>
        <w:adjustRightInd w:val="0"/>
        <w:snapToGrid w:val="0"/>
        <w:spacing w:line="560" w:lineRule="exact"/>
        <w:ind w:firstLine="640" w:firstLineChars="200"/>
        <w:rPr>
          <w:rFonts w:hint="eastAsia" w:ascii="仿宋_GB2312" w:hAnsi="仿宋_GB2312" w:cs="仿宋_GB2312"/>
          <w:bCs/>
          <w:sz w:val="32"/>
          <w:szCs w:val="32"/>
        </w:rPr>
      </w:pPr>
      <w:r>
        <w:rPr>
          <w:rFonts w:hint="eastAsia" w:ascii="仿宋_GB2312" w:hAnsi="仿宋_GB2312" w:cs="仿宋_GB2312"/>
          <w:bCs/>
          <w:sz w:val="32"/>
          <w:szCs w:val="32"/>
          <w:lang w:val="en-US" w:eastAsia="zh-CN"/>
        </w:rPr>
        <w:t>13</w:t>
      </w:r>
      <w:r>
        <w:rPr>
          <w:rFonts w:hint="eastAsia" w:ascii="仿宋_GB2312" w:hAnsi="仿宋_GB2312" w:cs="仿宋_GB2312"/>
          <w:bCs/>
          <w:sz w:val="32"/>
          <w:szCs w:val="32"/>
        </w:rPr>
        <w:t>.传统艺术创造性转化与创新性发展研究</w:t>
      </w:r>
    </w:p>
    <w:p>
      <w:pPr>
        <w:adjustRightInd w:val="0"/>
        <w:snapToGrid w:val="0"/>
        <w:spacing w:line="560" w:lineRule="exact"/>
        <w:ind w:firstLine="640" w:firstLineChars="200"/>
        <w:rPr>
          <w:rFonts w:hint="eastAsia" w:ascii="仿宋_GB2312" w:hAnsi="仿宋_GB2312" w:cs="仿宋_GB2312"/>
          <w:bCs/>
          <w:sz w:val="32"/>
          <w:szCs w:val="32"/>
        </w:rPr>
      </w:pPr>
      <w:r>
        <w:rPr>
          <w:rFonts w:hint="eastAsia" w:ascii="仿宋_GB2312" w:hAnsi="仿宋_GB2312" w:cs="仿宋_GB2312"/>
          <w:bCs/>
          <w:sz w:val="32"/>
          <w:szCs w:val="32"/>
          <w:lang w:val="en-US" w:eastAsia="zh-CN"/>
        </w:rPr>
        <w:t>14.</w:t>
      </w:r>
      <w:r>
        <w:rPr>
          <w:rFonts w:hint="eastAsia" w:ascii="仿宋_GB2312" w:hAnsi="仿宋_GB2312" w:cs="仿宋_GB2312"/>
          <w:bCs/>
          <w:sz w:val="32"/>
          <w:szCs w:val="32"/>
        </w:rPr>
        <w:t>数字技术变革与中国当代艺术繁荣发展研究</w:t>
      </w:r>
    </w:p>
    <w:p>
      <w:pPr>
        <w:adjustRightInd w:val="0"/>
        <w:snapToGrid w:val="0"/>
        <w:spacing w:line="560" w:lineRule="exact"/>
        <w:ind w:firstLine="640" w:firstLineChars="200"/>
        <w:rPr>
          <w:rFonts w:hint="eastAsia" w:ascii="仿宋_GB2312" w:hAnsi="仿宋_GB2312" w:cs="仿宋_GB2312"/>
          <w:bCs/>
          <w:sz w:val="32"/>
          <w:szCs w:val="32"/>
        </w:rPr>
      </w:pPr>
      <w:r>
        <w:rPr>
          <w:rFonts w:hint="eastAsia" w:ascii="仿宋_GB2312" w:hAnsi="仿宋_GB2312" w:cs="仿宋_GB2312"/>
          <w:bCs/>
          <w:sz w:val="32"/>
          <w:szCs w:val="32"/>
        </w:rPr>
        <w:t>1</w:t>
      </w:r>
      <w:r>
        <w:rPr>
          <w:rFonts w:hint="eastAsia" w:ascii="仿宋_GB2312" w:hAnsi="仿宋_GB2312" w:cs="仿宋_GB2312"/>
          <w:bCs/>
          <w:sz w:val="32"/>
          <w:szCs w:val="32"/>
          <w:lang w:val="en-US" w:eastAsia="zh-CN"/>
        </w:rPr>
        <w:t>5</w:t>
      </w:r>
      <w:r>
        <w:rPr>
          <w:rFonts w:hint="eastAsia" w:ascii="仿宋_GB2312" w:hAnsi="仿宋_GB2312" w:cs="仿宋_GB2312"/>
          <w:bCs/>
          <w:sz w:val="32"/>
          <w:szCs w:val="32"/>
        </w:rPr>
        <w:t>.文学艺术发展与当代精神文明建设研究</w:t>
      </w:r>
    </w:p>
    <w:p>
      <w:pPr>
        <w:adjustRightInd w:val="0"/>
        <w:snapToGrid w:val="0"/>
        <w:spacing w:line="560" w:lineRule="exact"/>
        <w:ind w:firstLine="640" w:firstLineChars="200"/>
        <w:rPr>
          <w:rFonts w:hint="eastAsia" w:ascii="仿宋_GB2312" w:hAnsi="仿宋_GB2312" w:cs="仿宋_GB2312"/>
          <w:bCs/>
          <w:sz w:val="32"/>
          <w:szCs w:val="32"/>
        </w:rPr>
      </w:pPr>
      <w:r>
        <w:rPr>
          <w:rFonts w:hint="eastAsia" w:ascii="仿宋_GB2312" w:hAnsi="仿宋_GB2312" w:cs="仿宋_GB2312"/>
          <w:bCs/>
          <w:sz w:val="32"/>
          <w:szCs w:val="32"/>
          <w:lang w:val="en-US" w:eastAsia="zh-CN"/>
        </w:rPr>
        <w:t>16.</w:t>
      </w:r>
      <w:r>
        <w:rPr>
          <w:rFonts w:hint="eastAsia" w:ascii="仿宋_GB2312" w:hAnsi="仿宋_GB2312" w:cs="仿宋_GB2312"/>
          <w:bCs/>
          <w:sz w:val="32"/>
          <w:szCs w:val="32"/>
        </w:rPr>
        <w:t>人工智能与当代艺术发展研究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w:t>
      </w:r>
      <w:r>
        <w:rPr>
          <w:rFonts w:hint="eastAsia" w:ascii="仿宋_GB2312" w:hAnsi="仿宋_GB2312" w:cs="仿宋_GB2312"/>
          <w:bCs/>
          <w:sz w:val="32"/>
          <w:szCs w:val="32"/>
          <w:lang w:val="en-US" w:eastAsia="zh-CN"/>
        </w:rPr>
        <w:t>7</w:t>
      </w:r>
      <w:r>
        <w:rPr>
          <w:rFonts w:hint="eastAsia" w:ascii="仿宋_GB2312" w:hAnsi="仿宋_GB2312" w:cs="仿宋_GB2312"/>
          <w:bCs/>
          <w:sz w:val="32"/>
          <w:szCs w:val="32"/>
        </w:rPr>
        <w:t>.青岛影视之都品牌提升战略研究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w:t>
      </w:r>
      <w:r>
        <w:rPr>
          <w:rFonts w:hint="eastAsia" w:ascii="仿宋_GB2312" w:hAnsi="仿宋_GB2312" w:cs="仿宋_GB2312"/>
          <w:bCs/>
          <w:sz w:val="32"/>
          <w:szCs w:val="32"/>
          <w:lang w:val="en-US" w:eastAsia="zh-CN"/>
        </w:rPr>
        <w:t>8</w:t>
      </w:r>
      <w:r>
        <w:rPr>
          <w:rFonts w:hint="eastAsia" w:ascii="仿宋_GB2312" w:hAnsi="仿宋_GB2312" w:cs="仿宋_GB2312"/>
          <w:bCs/>
          <w:sz w:val="32"/>
          <w:szCs w:val="32"/>
        </w:rPr>
        <w:t>.文化与科技融合推进青岛文化数字化转型研究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w:t>
      </w:r>
      <w:r>
        <w:rPr>
          <w:rFonts w:hint="eastAsia" w:ascii="仿宋_GB2312" w:hAnsi="仿宋_GB2312" w:cs="仿宋_GB2312"/>
          <w:bCs/>
          <w:sz w:val="32"/>
          <w:szCs w:val="32"/>
          <w:lang w:val="en-US" w:eastAsia="zh-CN"/>
        </w:rPr>
        <w:t>9</w:t>
      </w:r>
      <w:r>
        <w:rPr>
          <w:rFonts w:hint="eastAsia" w:ascii="仿宋_GB2312" w:hAnsi="仿宋_GB2312" w:cs="仿宋_GB2312"/>
          <w:bCs/>
          <w:sz w:val="32"/>
          <w:szCs w:val="32"/>
        </w:rPr>
        <w:t>.艺术青岛建设研究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20.数智化时代青岛文化新业态、新消费、新市场研究</w:t>
      </w:r>
    </w:p>
    <w:p>
      <w:pPr>
        <w:adjustRightInd w:val="0"/>
        <w:snapToGrid w:val="0"/>
        <w:spacing w:line="560" w:lineRule="exact"/>
        <w:ind w:firstLine="640" w:firstLineChars="200"/>
        <w:rPr>
          <w:rFonts w:ascii="黑体" w:hAnsi="黑体" w:eastAsia="黑体" w:cs="黑体"/>
          <w:sz w:val="32"/>
          <w:szCs w:val="32"/>
        </w:rPr>
      </w:pPr>
      <w:r>
        <w:rPr>
          <w:rFonts w:hint="eastAsia" w:ascii="黑体" w:hAnsi="黑体" w:eastAsia="黑体" w:cs="黑体"/>
          <w:sz w:val="32"/>
          <w:szCs w:val="32"/>
        </w:rPr>
        <w:t>九、教育学·体育学</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1.高质量教育体系构建研究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2.新文科建设与教育评价改革研究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3.加强和改进新时代全民国防教育研究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4.家校社一体化视域下的学生价值观培育研究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5.新时代青少年心理健康教育研究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6.“双减”政策评估研究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7.深化青岛教育评价改革研究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8.青岛人口变化与教育发展研究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9.青岛职业教育高质量发展研究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10.青岛高等教育产教融合研究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11.青少年数字媒体沉迷的特征及治理研究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12.智能化时代青岛大中小学思想政治教育变革研究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13.大学生遭受网络欺骗的心理及预防机制研究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14.中华优秀传统文化融入大中小学一体化教育体系研究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15.青岛新时代体育强市创新发展研究</w:t>
      </w:r>
    </w:p>
    <w:p>
      <w:pPr>
        <w:adjustRightInd w:val="0"/>
        <w:snapToGrid w:val="0"/>
        <w:spacing w:line="560" w:lineRule="exact"/>
        <w:ind w:firstLine="640" w:firstLineChars="200"/>
        <w:rPr>
          <w:rFonts w:hint="eastAsia" w:ascii="仿宋_GB2312" w:hAnsi="仿宋_GB2312" w:cs="仿宋_GB2312"/>
          <w:bCs/>
          <w:sz w:val="32"/>
          <w:szCs w:val="32"/>
        </w:rPr>
      </w:pPr>
      <w:r>
        <w:rPr>
          <w:rFonts w:hint="eastAsia" w:ascii="仿宋_GB2312" w:hAnsi="仿宋_GB2312" w:cs="仿宋_GB2312"/>
          <w:bCs/>
          <w:sz w:val="32"/>
          <w:szCs w:val="32"/>
        </w:rPr>
        <w:t>16.传统体育文化现代化创新研究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17</w:t>
      </w:r>
      <w:r>
        <w:rPr>
          <w:rFonts w:hint="eastAsia" w:ascii="仿宋_GB2312" w:hAnsi="仿宋_GB2312" w:cs="仿宋_GB2312"/>
          <w:bCs/>
          <w:sz w:val="32"/>
          <w:szCs w:val="32"/>
        </w:rPr>
        <w:t>.非物质文化遗产视角下的民族传统体育保护与传承机制研究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w:t>
      </w:r>
      <w:r>
        <w:rPr>
          <w:rFonts w:hint="eastAsia" w:ascii="仿宋_GB2312" w:hAnsi="仿宋_GB2312" w:cs="仿宋_GB2312"/>
          <w:bCs/>
          <w:sz w:val="32"/>
          <w:szCs w:val="32"/>
          <w:lang w:val="en-US" w:eastAsia="zh-CN"/>
        </w:rPr>
        <w:t>8</w:t>
      </w:r>
      <w:r>
        <w:rPr>
          <w:rFonts w:hint="eastAsia" w:ascii="仿宋_GB2312" w:hAnsi="仿宋_GB2312" w:cs="仿宋_GB2312"/>
          <w:bCs/>
          <w:sz w:val="32"/>
          <w:szCs w:val="32"/>
        </w:rPr>
        <w:t>.青岛体育产业高质量发展研究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w:t>
      </w:r>
      <w:r>
        <w:rPr>
          <w:rFonts w:hint="eastAsia" w:ascii="仿宋_GB2312" w:hAnsi="仿宋_GB2312" w:cs="仿宋_GB2312"/>
          <w:bCs/>
          <w:sz w:val="32"/>
          <w:szCs w:val="32"/>
          <w:lang w:val="en-US" w:eastAsia="zh-CN"/>
        </w:rPr>
        <w:t>9</w:t>
      </w:r>
      <w:r>
        <w:rPr>
          <w:rFonts w:hint="eastAsia" w:ascii="仿宋_GB2312" w:hAnsi="仿宋_GB2312" w:cs="仿宋_GB2312"/>
          <w:bCs/>
          <w:sz w:val="32"/>
          <w:szCs w:val="32"/>
        </w:rPr>
        <w:t>.数字经济驱动体育要素市场化改革的实现机制与路径研究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20</w:t>
      </w:r>
      <w:r>
        <w:rPr>
          <w:rFonts w:hint="eastAsia" w:ascii="仿宋_GB2312" w:hAnsi="仿宋_GB2312" w:cs="仿宋_GB2312"/>
          <w:bCs/>
          <w:sz w:val="32"/>
          <w:szCs w:val="32"/>
        </w:rPr>
        <w:t>.海洋体育休闲文旅融合发展模式研究</w:t>
      </w:r>
    </w:p>
    <w:p>
      <w:pPr>
        <w:adjustRightInd w:val="0"/>
        <w:snapToGrid w:val="0"/>
        <w:spacing w:line="560" w:lineRule="exact"/>
        <w:ind w:firstLine="640" w:firstLineChars="200"/>
        <w:rPr>
          <w:rFonts w:ascii="黑体" w:hAnsi="黑体" w:eastAsia="黑体" w:cs="黑体"/>
          <w:sz w:val="32"/>
          <w:szCs w:val="32"/>
        </w:rPr>
      </w:pPr>
      <w:r>
        <w:rPr>
          <w:rFonts w:hint="eastAsia" w:ascii="黑体" w:hAnsi="黑体" w:eastAsia="黑体" w:cs="黑体"/>
          <w:sz w:val="32"/>
          <w:szCs w:val="32"/>
        </w:rPr>
        <w:t>十、新闻学·语言学</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1.习近平总书记关于网络强国的重要思想研究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2.巩固壮大主流价值、主流舆论、主流文化研究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3.马克思主义新闻观中国化时代化的理论体系建构研究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4.中国共产党新闻舆论工作历史和新时代实践研究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5.中华文明国际传播力影响力研究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6</w:t>
      </w:r>
      <w:r>
        <w:rPr>
          <w:rFonts w:hint="eastAsia" w:ascii="仿宋_GB2312" w:hAnsi="仿宋_GB2312" w:cs="仿宋_GB2312"/>
          <w:bCs/>
          <w:sz w:val="32"/>
          <w:szCs w:val="32"/>
        </w:rPr>
        <w:t>.全媒体时代主流意识形态传播体系研究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7</w:t>
      </w:r>
      <w:r>
        <w:rPr>
          <w:rFonts w:hint="eastAsia" w:ascii="仿宋_GB2312" w:hAnsi="仿宋_GB2312" w:cs="仿宋_GB2312"/>
          <w:bCs/>
          <w:sz w:val="32"/>
          <w:szCs w:val="32"/>
        </w:rPr>
        <w:t>.全球视域下海洋文化传播研究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8</w:t>
      </w:r>
      <w:r>
        <w:rPr>
          <w:rFonts w:hint="eastAsia" w:ascii="仿宋_GB2312" w:hAnsi="仿宋_GB2312" w:cs="仿宋_GB2312"/>
          <w:bCs/>
          <w:sz w:val="32"/>
          <w:szCs w:val="32"/>
        </w:rPr>
        <w:t>.重大事件网络圈层的情感传播与共识建构研究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9</w:t>
      </w:r>
      <w:r>
        <w:rPr>
          <w:rFonts w:hint="eastAsia" w:ascii="仿宋_GB2312" w:hAnsi="仿宋_GB2312" w:cs="仿宋_GB2312"/>
          <w:bCs/>
          <w:sz w:val="32"/>
          <w:szCs w:val="32"/>
        </w:rPr>
        <w:t>.新时代舆情应对与舆论引导研究</w:t>
      </w:r>
    </w:p>
    <w:p>
      <w:pPr>
        <w:adjustRightInd w:val="0"/>
        <w:snapToGrid w:val="0"/>
        <w:spacing w:line="560" w:lineRule="exact"/>
        <w:ind w:firstLine="640" w:firstLineChars="200"/>
        <w:rPr>
          <w:rFonts w:hint="eastAsia" w:ascii="仿宋_GB2312" w:hAnsi="仿宋_GB2312" w:cs="仿宋_GB2312"/>
          <w:bCs/>
          <w:sz w:val="32"/>
          <w:szCs w:val="32"/>
        </w:rPr>
      </w:pPr>
      <w:r>
        <w:rPr>
          <w:rFonts w:hint="eastAsia" w:ascii="仿宋_GB2312" w:hAnsi="仿宋_GB2312" w:cs="仿宋_GB2312"/>
          <w:bCs/>
          <w:sz w:val="32"/>
          <w:szCs w:val="32"/>
        </w:rPr>
        <w:t>1</w:t>
      </w:r>
      <w:r>
        <w:rPr>
          <w:rFonts w:hint="eastAsia" w:ascii="仿宋_GB2312" w:hAnsi="仿宋_GB2312" w:cs="仿宋_GB2312"/>
          <w:bCs/>
          <w:sz w:val="32"/>
          <w:szCs w:val="32"/>
          <w:lang w:val="en-US" w:eastAsia="zh-CN"/>
        </w:rPr>
        <w:t>0</w:t>
      </w:r>
      <w:r>
        <w:rPr>
          <w:rFonts w:hint="eastAsia" w:ascii="仿宋_GB2312" w:hAnsi="仿宋_GB2312" w:cs="仿宋_GB2312"/>
          <w:bCs/>
          <w:sz w:val="32"/>
          <w:szCs w:val="32"/>
        </w:rPr>
        <w:t>.短视频对青年价值观的影响及引导研究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11</w:t>
      </w:r>
      <w:r>
        <w:rPr>
          <w:rFonts w:hint="eastAsia" w:ascii="仿宋_GB2312" w:hAnsi="仿宋_GB2312" w:cs="仿宋_GB2312"/>
          <w:bCs/>
          <w:sz w:val="32"/>
          <w:szCs w:val="32"/>
        </w:rPr>
        <w:t>.语言与民族文化传承发展研究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12</w:t>
      </w:r>
      <w:r>
        <w:rPr>
          <w:rFonts w:hint="eastAsia" w:ascii="仿宋_GB2312" w:hAnsi="仿宋_GB2312" w:cs="仿宋_GB2312"/>
          <w:bCs/>
          <w:sz w:val="32"/>
          <w:szCs w:val="32"/>
        </w:rPr>
        <w:t>.汉语字词关系及其历史发展研究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13.人工智能背景下的语言知识体系研究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14.新时代青岛形象的建构与传播研究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15.青岛媒体深度融合发展的战略研究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16.青岛融媒体创新发展研究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17.红色故事的现代传播策略研究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18.数字时代我国主流媒体的情感传播与影响机制研究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19.突发公共事件舆论引导的机制、路径与方法研究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20.融媒体背景下中华优秀传统文化的新媒体传播路径研究</w:t>
      </w:r>
    </w:p>
    <w:p>
      <w:pPr>
        <w:adjustRightInd w:val="0"/>
        <w:snapToGrid w:val="0"/>
        <w:spacing w:line="560" w:lineRule="exact"/>
        <w:ind w:firstLine="640" w:firstLineChars="200"/>
        <w:rPr>
          <w:rFonts w:hint="eastAsia" w:ascii="黑体" w:hAnsi="黑体" w:eastAsia="黑体" w:cs="黑体"/>
          <w:sz w:val="32"/>
          <w:szCs w:val="32"/>
        </w:rPr>
      </w:pPr>
      <w:r>
        <w:rPr>
          <w:rFonts w:hint="eastAsia" w:ascii="黑体" w:hAnsi="黑体" w:eastAsia="黑体" w:cs="黑体"/>
          <w:sz w:val="32"/>
          <w:szCs w:val="32"/>
        </w:rPr>
        <w:t>十一、习近平文化思想专项研究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1.习近平文化思想的重大意义、丰富内涵和实践要求研究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2.习近平文化思想的理论特质与科学方法论研究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3.习近平文化思想的科学体系与原创性贡献研究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4.习近平文化思想时代特质研究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5.习近平文化思想与中国式现代化的文化形态研究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6</w:t>
      </w:r>
      <w:r>
        <w:rPr>
          <w:rFonts w:hint="eastAsia" w:ascii="仿宋_GB2312" w:hAnsi="仿宋_GB2312" w:cs="仿宋_GB2312"/>
          <w:bCs/>
          <w:sz w:val="32"/>
          <w:szCs w:val="32"/>
        </w:rPr>
        <w:t>.</w:t>
      </w:r>
      <w:r>
        <w:fldChar w:fldCharType="begin"/>
      </w:r>
      <w:r>
        <w:instrText xml:space="preserve"> HYPERLINK "https://kns.cnki.net/kcms2/article/abstract?v=9hl5eXOdJcbc5oEksgJksj3COJCpIzn8dqB15O6NQeSRVdsQV0CbEUONdHlqHWPcTcLTGo7QYU5HudiAWDwn3x4TwWEYICjIq5vqQ8ZXdMYuITza-YCLuzOM8G8TOUbK&amp;uniplatform=NZKPT&amp;language=gb" \t "https://kns.cnki.net/kns/_blank" </w:instrText>
      </w:r>
      <w:r>
        <w:fldChar w:fldCharType="separate"/>
      </w:r>
      <w:r>
        <w:rPr>
          <w:rFonts w:ascii="仿宋_GB2312" w:hAnsi="仿宋_GB2312" w:cs="仿宋_GB2312"/>
          <w:bCs/>
          <w:sz w:val="32"/>
          <w:szCs w:val="32"/>
        </w:rPr>
        <w:t>习近平文化思想推进乡村文化振兴</w:t>
      </w:r>
      <w:r>
        <w:rPr>
          <w:rFonts w:hint="eastAsia" w:ascii="仿宋_GB2312" w:hAnsi="仿宋_GB2312" w:cs="仿宋_GB2312"/>
          <w:bCs/>
          <w:sz w:val="32"/>
          <w:szCs w:val="32"/>
        </w:rPr>
        <w:t>的</w:t>
      </w:r>
      <w:r>
        <w:rPr>
          <w:rFonts w:ascii="仿宋_GB2312" w:hAnsi="仿宋_GB2312" w:cs="仿宋_GB2312"/>
          <w:bCs/>
          <w:sz w:val="32"/>
          <w:szCs w:val="32"/>
        </w:rPr>
        <w:t>实践</w:t>
      </w:r>
      <w:r>
        <w:rPr>
          <w:rFonts w:ascii="仿宋_GB2312" w:hAnsi="仿宋_GB2312" w:cs="仿宋_GB2312"/>
          <w:bCs/>
          <w:sz w:val="32"/>
          <w:szCs w:val="32"/>
        </w:rPr>
        <w:fldChar w:fldCharType="end"/>
      </w:r>
      <w:r>
        <w:rPr>
          <w:rFonts w:hint="eastAsia" w:ascii="仿宋_GB2312" w:hAnsi="仿宋_GB2312" w:cs="仿宋_GB2312"/>
          <w:bCs/>
          <w:sz w:val="32"/>
          <w:szCs w:val="32"/>
        </w:rPr>
        <w:t>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lang w:val="en-US" w:eastAsia="zh-CN"/>
        </w:rPr>
        <w:t>7</w:t>
      </w:r>
      <w:r>
        <w:rPr>
          <w:rFonts w:hint="eastAsia" w:ascii="仿宋_GB2312" w:hAnsi="仿宋_GB2312" w:cs="仿宋_GB2312"/>
          <w:bCs/>
          <w:sz w:val="32"/>
          <w:szCs w:val="32"/>
        </w:rPr>
        <w:t>.加强党对宣传思想文化工作全面领导研究</w:t>
      </w:r>
    </w:p>
    <w:p>
      <w:pPr>
        <w:adjustRightInd w:val="0"/>
        <w:snapToGrid w:val="0"/>
        <w:spacing w:line="560" w:lineRule="exact"/>
        <w:ind w:firstLine="640" w:firstLineChars="200"/>
        <w:rPr>
          <w:rFonts w:ascii="仿宋_GB2312" w:hAnsi="仿宋_GB2312" w:cs="仿宋_GB2312"/>
          <w:bCs/>
          <w:sz w:val="32"/>
          <w:szCs w:val="32"/>
        </w:rPr>
      </w:pPr>
      <w:r>
        <w:rPr>
          <w:rFonts w:ascii="仿宋_GB2312" w:hAnsi="仿宋_GB2312" w:cs="仿宋_GB2312"/>
          <w:bCs/>
          <w:sz w:val="32"/>
          <w:szCs w:val="32"/>
        </w:rPr>
        <w:t>8</w:t>
      </w:r>
      <w:r>
        <w:rPr>
          <w:rFonts w:hint="eastAsia" w:ascii="仿宋_GB2312" w:hAnsi="仿宋_GB2312" w:cs="仿宋_GB2312"/>
          <w:bCs/>
          <w:sz w:val="32"/>
          <w:szCs w:val="32"/>
        </w:rPr>
        <w:t>.宣传思想文化工作“七个着力”研究</w:t>
      </w:r>
    </w:p>
    <w:p>
      <w:pPr>
        <w:adjustRightInd w:val="0"/>
        <w:snapToGrid w:val="0"/>
        <w:spacing w:line="560" w:lineRule="exact"/>
        <w:ind w:firstLine="640" w:firstLineChars="200"/>
        <w:rPr>
          <w:rFonts w:ascii="仿宋_GB2312" w:hAnsi="仿宋_GB2312" w:cs="仿宋_GB2312"/>
          <w:bCs/>
          <w:sz w:val="32"/>
          <w:szCs w:val="32"/>
        </w:rPr>
      </w:pPr>
      <w:r>
        <w:rPr>
          <w:rFonts w:ascii="仿宋_GB2312" w:hAnsi="仿宋_GB2312" w:cs="仿宋_GB2312"/>
          <w:bCs/>
          <w:sz w:val="32"/>
          <w:szCs w:val="32"/>
        </w:rPr>
        <w:t>9</w:t>
      </w:r>
      <w:r>
        <w:rPr>
          <w:rFonts w:hint="eastAsia" w:ascii="仿宋_GB2312" w:hAnsi="仿宋_GB2312" w:cs="仿宋_GB2312"/>
          <w:bCs/>
          <w:sz w:val="32"/>
          <w:szCs w:val="32"/>
        </w:rPr>
        <w:t>.习近平文化思想的青岛实践研究</w:t>
      </w:r>
    </w:p>
    <w:p>
      <w:pPr>
        <w:adjustRightInd w:val="0"/>
        <w:snapToGrid w:val="0"/>
        <w:spacing w:line="560" w:lineRule="exact"/>
        <w:ind w:firstLine="640" w:firstLineChars="200"/>
        <w:rPr>
          <w:rFonts w:ascii="仿宋_GB2312" w:hAnsi="仿宋_GB2312" w:cs="仿宋_GB2312"/>
          <w:bCs/>
          <w:sz w:val="32"/>
          <w:szCs w:val="32"/>
        </w:rPr>
      </w:pPr>
      <w:r>
        <w:rPr>
          <w:rFonts w:ascii="仿宋_GB2312" w:hAnsi="仿宋_GB2312" w:cs="仿宋_GB2312"/>
          <w:bCs/>
          <w:sz w:val="32"/>
          <w:szCs w:val="32"/>
        </w:rPr>
        <w:t>10</w:t>
      </w:r>
      <w:r>
        <w:rPr>
          <w:rFonts w:hint="eastAsia" w:ascii="仿宋_GB2312" w:hAnsi="仿宋_GB2312" w:cs="仿宋_GB2312"/>
          <w:bCs/>
          <w:sz w:val="32"/>
          <w:szCs w:val="32"/>
        </w:rPr>
        <w:t>.青岛深入推动中华优秀传统文化创造性转化创新性发展研究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w:t>
      </w:r>
      <w:r>
        <w:rPr>
          <w:rFonts w:ascii="仿宋_GB2312" w:hAnsi="仿宋_GB2312" w:cs="仿宋_GB2312"/>
          <w:bCs/>
          <w:sz w:val="32"/>
          <w:szCs w:val="32"/>
        </w:rPr>
        <w:t>1</w:t>
      </w:r>
      <w:r>
        <w:rPr>
          <w:rFonts w:hint="eastAsia" w:ascii="仿宋_GB2312" w:hAnsi="仿宋_GB2312" w:cs="仿宋_GB2312"/>
          <w:bCs/>
          <w:sz w:val="32"/>
          <w:szCs w:val="32"/>
        </w:rPr>
        <w:t>.弘扬伟大建党精神赓续传承青岛城市红色文化研究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w:t>
      </w:r>
      <w:r>
        <w:rPr>
          <w:rFonts w:ascii="仿宋_GB2312" w:hAnsi="仿宋_GB2312" w:cs="仿宋_GB2312"/>
          <w:bCs/>
          <w:sz w:val="32"/>
          <w:szCs w:val="32"/>
        </w:rPr>
        <w:t>2</w:t>
      </w:r>
      <w:r>
        <w:rPr>
          <w:rFonts w:hint="eastAsia" w:ascii="仿宋_GB2312" w:hAnsi="仿宋_GB2312" w:cs="仿宋_GB2312"/>
          <w:bCs/>
          <w:sz w:val="32"/>
          <w:szCs w:val="32"/>
        </w:rPr>
        <w:t>.青岛文脉研究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w:t>
      </w:r>
      <w:r>
        <w:rPr>
          <w:rFonts w:ascii="仿宋_GB2312" w:hAnsi="仿宋_GB2312" w:cs="仿宋_GB2312"/>
          <w:bCs/>
          <w:sz w:val="32"/>
          <w:szCs w:val="32"/>
        </w:rPr>
        <w:t>3</w:t>
      </w:r>
      <w:r>
        <w:rPr>
          <w:rFonts w:hint="eastAsia" w:ascii="仿宋_GB2312" w:hAnsi="仿宋_GB2312" w:cs="仿宋_GB2312"/>
          <w:bCs/>
          <w:sz w:val="32"/>
          <w:szCs w:val="32"/>
        </w:rPr>
        <w:t>.全媒体传播格局下加强青岛全媒体传播体系建设研究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14.青岛开展国际传播比较优势及方法策略研究</w:t>
      </w:r>
    </w:p>
    <w:p>
      <w:pPr>
        <w:adjustRightInd w:val="0"/>
        <w:snapToGrid w:val="0"/>
        <w:spacing w:line="560" w:lineRule="exact"/>
        <w:ind w:firstLine="640" w:firstLineChars="200"/>
        <w:rPr>
          <w:rFonts w:ascii="仿宋_GB2312" w:hAnsi="仿宋_GB2312" w:cs="仿宋_GB2312"/>
          <w:bCs/>
          <w:sz w:val="32"/>
          <w:szCs w:val="32"/>
        </w:rPr>
      </w:pPr>
      <w:r>
        <w:rPr>
          <w:rFonts w:ascii="仿宋_GB2312" w:hAnsi="仿宋_GB2312" w:cs="仿宋_GB2312"/>
          <w:bCs/>
          <w:sz w:val="32"/>
          <w:szCs w:val="32"/>
        </w:rPr>
        <w:t>15.</w:t>
      </w:r>
      <w:r>
        <w:rPr>
          <w:rFonts w:hint="eastAsia" w:ascii="仿宋_GB2312" w:hAnsi="仿宋_GB2312" w:cs="仿宋_GB2312"/>
          <w:bCs/>
          <w:sz w:val="32"/>
          <w:szCs w:val="32"/>
        </w:rPr>
        <w:t>在青企业参与城市外宣问题研究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16.青岛创新实施文化惠民工程研究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17.青岛打造“博物馆之城”文化新名片研究</w:t>
      </w:r>
    </w:p>
    <w:p>
      <w:pPr>
        <w:adjustRightInd w:val="0"/>
        <w:snapToGrid w:val="0"/>
        <w:spacing w:line="560" w:lineRule="exact"/>
        <w:ind w:firstLine="640" w:firstLineChars="200"/>
        <w:rPr>
          <w:rFonts w:hint="default" w:ascii="仿宋_GB2312" w:hAnsi="仿宋_GB2312" w:cs="仿宋_GB2312"/>
          <w:bCs/>
          <w:sz w:val="32"/>
          <w:szCs w:val="32"/>
          <w:lang w:val="en-US" w:eastAsia="zh-CN"/>
        </w:rPr>
      </w:pPr>
      <w:r>
        <w:rPr>
          <w:rFonts w:hint="eastAsia" w:ascii="仿宋_GB2312" w:hAnsi="仿宋_GB2312" w:cs="仿宋_GB2312"/>
          <w:bCs/>
          <w:sz w:val="32"/>
          <w:szCs w:val="32"/>
        </w:rPr>
        <w:t>18.</w:t>
      </w:r>
      <w:r>
        <w:rPr>
          <w:rFonts w:hint="eastAsia" w:ascii="仿宋_GB2312" w:hAnsi="仿宋_GB2312" w:cs="仿宋_GB2312"/>
          <w:bCs/>
          <w:sz w:val="32"/>
          <w:szCs w:val="32"/>
          <w:lang w:val="en-US" w:eastAsia="zh-CN"/>
        </w:rPr>
        <w:t>青岛</w:t>
      </w:r>
      <w:r>
        <w:rPr>
          <w:rFonts w:hint="default" w:ascii="仿宋_GB2312" w:hAnsi="仿宋_GB2312" w:cs="仿宋_GB2312"/>
          <w:bCs/>
          <w:sz w:val="32"/>
          <w:szCs w:val="32"/>
          <w:lang w:val="en-US" w:eastAsia="zh-CN"/>
        </w:rPr>
        <w:t>文化事业与文化产业协同发展的策略与实践</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19.全面提升青岛市民文明素质和城市文明程度研究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20.新时代青岛城市精神研究</w:t>
      </w:r>
    </w:p>
    <w:p>
      <w:pPr>
        <w:spacing w:line="560" w:lineRule="exact"/>
        <w:ind w:firstLine="640" w:firstLineChars="200"/>
        <w:rPr>
          <w:rFonts w:ascii="黑体" w:hAnsi="黑体" w:eastAsia="黑体" w:cs="黑体"/>
          <w:sz w:val="32"/>
          <w:szCs w:val="32"/>
        </w:rPr>
      </w:pPr>
      <w:r>
        <w:rPr>
          <w:rFonts w:hint="eastAsia" w:ascii="黑体" w:hAnsi="黑体" w:eastAsia="黑体" w:cs="黑体"/>
          <w:sz w:val="32"/>
          <w:szCs w:val="32"/>
        </w:rPr>
        <w:t>十二、习近平新时代中国特色社会主义思想青岛实践专项</w:t>
      </w:r>
    </w:p>
    <w:p>
      <w:pPr>
        <w:adjustRightInd w:val="0"/>
        <w:snapToGrid w:val="0"/>
        <w:spacing w:line="560" w:lineRule="exact"/>
        <w:ind w:firstLine="640" w:firstLineChars="200"/>
        <w:rPr>
          <w:rFonts w:cs="仿宋_GB2312"/>
          <w:sz w:val="32"/>
          <w:szCs w:val="32"/>
        </w:rPr>
      </w:pPr>
      <w:r>
        <w:rPr>
          <w:rFonts w:hint="eastAsia" w:cs="仿宋_GB2312"/>
          <w:sz w:val="32"/>
          <w:szCs w:val="32"/>
        </w:rPr>
        <w:t>该专项研究聚焦青岛学习贯彻落实习近平新时代中国特色社会主义思想的具体实践，特别是结合习近平总书记对青岛工作重要指示要求，深入把握蕴含其中的重大创新观点、科学方法论和重要战略部署等，开展专项研究，充分展示青岛各方面工作取得的丰硕成果。</w:t>
      </w:r>
    </w:p>
    <w:p>
      <w:pPr>
        <w:adjustRightInd w:val="0"/>
        <w:snapToGrid w:val="0"/>
        <w:spacing w:line="560" w:lineRule="exact"/>
        <w:ind w:firstLine="640" w:firstLineChars="200"/>
        <w:rPr>
          <w:rFonts w:ascii="仿宋_GB2312" w:hAnsi="宋体" w:cs="仿宋_GB2312"/>
          <w:color w:val="FF0000"/>
          <w:sz w:val="32"/>
          <w:szCs w:val="32"/>
        </w:rPr>
      </w:pPr>
      <w:r>
        <w:rPr>
          <w:rFonts w:hint="eastAsia" w:ascii="仿宋_GB2312" w:hAnsi="宋体" w:cs="仿宋_GB2312"/>
          <w:sz w:val="32"/>
          <w:szCs w:val="32"/>
        </w:rPr>
        <w:t>课题成果必须在中央“三报一刊”（《人民日报》《光明日报》《经济日报》《求是》杂志）发表（字数不少于1500字），符合结项要求的申报成果列入年度青岛市社科规划研究立项和结项项目。</w:t>
      </w:r>
      <w:r>
        <w:rPr>
          <w:rFonts w:ascii="仿宋_GB2312" w:hAnsi="宋体" w:cs="仿宋_GB2312"/>
          <w:sz w:val="32"/>
          <w:szCs w:val="32"/>
        </w:rPr>
        <w:t>专项研究采取开放式立项模式</w:t>
      </w:r>
      <w:r>
        <w:rPr>
          <w:rFonts w:hint="eastAsia" w:ascii="仿宋_GB2312" w:hAnsi="宋体" w:cs="仿宋_GB2312"/>
          <w:sz w:val="32"/>
          <w:szCs w:val="32"/>
        </w:rPr>
        <w:t>，发表即立项即结项，根据专家组评审结果，分别给予3万-5万元后期资助。2024年1月1日—</w:t>
      </w:r>
      <w:r>
        <w:rPr>
          <w:rFonts w:ascii="仿宋_GB2312" w:hAnsi="宋体" w:cs="仿宋_GB2312"/>
          <w:sz w:val="32"/>
          <w:szCs w:val="32"/>
        </w:rPr>
        <w:t>10</w:t>
      </w:r>
      <w:r>
        <w:rPr>
          <w:rFonts w:hint="eastAsia" w:ascii="仿宋_GB2312" w:hAnsi="宋体" w:cs="仿宋_GB2312"/>
          <w:sz w:val="32"/>
          <w:szCs w:val="32"/>
        </w:rPr>
        <w:t>月3</w:t>
      </w:r>
      <w:r>
        <w:rPr>
          <w:rFonts w:ascii="仿宋_GB2312" w:hAnsi="宋体" w:cs="仿宋_GB2312"/>
          <w:sz w:val="32"/>
          <w:szCs w:val="32"/>
        </w:rPr>
        <w:t>1日</w:t>
      </w:r>
      <w:r>
        <w:rPr>
          <w:rFonts w:hint="eastAsia" w:ascii="仿宋_GB2312" w:hAnsi="宋体" w:cs="仿宋_GB2312"/>
          <w:sz w:val="32"/>
          <w:szCs w:val="32"/>
        </w:rPr>
        <w:t>发表的，当年资助；2024年1</w:t>
      </w:r>
      <w:r>
        <w:rPr>
          <w:rFonts w:ascii="仿宋_GB2312" w:hAnsi="宋体" w:cs="仿宋_GB2312"/>
          <w:sz w:val="32"/>
          <w:szCs w:val="32"/>
        </w:rPr>
        <w:t>1</w:t>
      </w:r>
      <w:r>
        <w:rPr>
          <w:rFonts w:hint="eastAsia" w:ascii="仿宋_GB2312" w:hAnsi="宋体" w:cs="仿宋_GB2312"/>
          <w:sz w:val="32"/>
          <w:szCs w:val="32"/>
        </w:rPr>
        <w:t>月1日—12月31日发表的，次年资助。</w:t>
      </w:r>
    </w:p>
    <w:p>
      <w:pPr>
        <w:adjustRightInd w:val="0"/>
        <w:snapToGrid w:val="0"/>
        <w:spacing w:line="560" w:lineRule="exact"/>
        <w:ind w:firstLine="640" w:firstLineChars="200"/>
        <w:rPr>
          <w:rFonts w:cs="仿宋_GB2312"/>
          <w:sz w:val="32"/>
          <w:szCs w:val="32"/>
        </w:rPr>
      </w:pPr>
      <w:r>
        <w:rPr>
          <w:rFonts w:hint="eastAsia" w:cs="仿宋_GB2312"/>
          <w:sz w:val="32"/>
          <w:szCs w:val="32"/>
        </w:rPr>
        <w:t>该专项研究聚焦青岛学习贯彻落实习近平新时代中国特色社会主义思想的具体实践，特别是结合习近平总书记对青岛工作重要指示要求，深入把握蕴含其中的重大创新观点、科学方法论和重要战略部署等，开展专项研究，充分展示青岛各方面工作取得的丰硕成果。</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1.习近平新时代中国特色社会主义思想在青岛的生动实践研究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2.习近平总书记对山东、对青岛工作的重要指示要求研究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3.青岛建设新时代社会主义现代化国际大都市实践研究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4.青岛发挥山东半岛城市群龙头作用，推动黄河流域生态保护和高质量发展实践研究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5.青岛积极融入共建“一带一路”建设研究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6.青岛推动上合示范区高质量发展研究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7.中国式现代化青岛探索实践研究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8.青岛现代海洋城市建设研究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9.青岛全面推进改革攻坚，促进高质量发展研究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10.青岛培育壮大未来新兴产业研究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11. 青岛巩固提升优势产业研究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12.青岛增强数字经济发展动能研究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13.中国式现代化视域下青岛城乡融合发展研究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14.青岛市文旅融合高质量发展研究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15.青岛因地制宜发展新质生产力研究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16.青岛做优做强现代服务业研究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17.青岛城市更新实践研究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18.青岛城市治理体系和治理能力现代化研究</w:t>
      </w:r>
    </w:p>
    <w:p>
      <w:pPr>
        <w:adjustRightInd w:val="0"/>
        <w:snapToGrid w:val="0"/>
        <w:spacing w:line="560" w:lineRule="exact"/>
        <w:ind w:firstLine="640" w:firstLineChars="200"/>
        <w:rPr>
          <w:rFonts w:ascii="仿宋_GB2312" w:hAnsi="仿宋_GB2312" w:cs="仿宋_GB2312"/>
          <w:bCs/>
          <w:sz w:val="32"/>
          <w:szCs w:val="32"/>
        </w:rPr>
      </w:pPr>
      <w:r>
        <w:rPr>
          <w:rFonts w:hint="eastAsia" w:ascii="仿宋_GB2312" w:hAnsi="仿宋_GB2312" w:cs="仿宋_GB2312"/>
          <w:bCs/>
          <w:sz w:val="32"/>
          <w:szCs w:val="32"/>
        </w:rPr>
        <w:t>19.青岛都市圈建设与区域协调发展研究</w:t>
      </w:r>
    </w:p>
    <w:p>
      <w:pPr>
        <w:adjustRightInd w:val="0"/>
        <w:snapToGrid w:val="0"/>
        <w:spacing w:line="560" w:lineRule="exact"/>
        <w:ind w:firstLine="640" w:firstLineChars="200"/>
        <w:rPr>
          <w:rFonts w:hint="eastAsia" w:ascii="仿宋_GB2312" w:hAnsi="仿宋_GB2312" w:cs="仿宋_GB2312"/>
          <w:bCs/>
          <w:sz w:val="32"/>
          <w:szCs w:val="32"/>
        </w:rPr>
      </w:pPr>
      <w:r>
        <w:rPr>
          <w:rFonts w:hint="eastAsia" w:ascii="仿宋_GB2312" w:hAnsi="仿宋_GB2312" w:cs="仿宋_GB2312"/>
          <w:bCs/>
          <w:sz w:val="32"/>
          <w:szCs w:val="32"/>
        </w:rPr>
        <w:t>20.青岛</w:t>
      </w:r>
      <w:r>
        <w:rPr>
          <w:rFonts w:hint="eastAsia" w:ascii="仿宋_GB2312" w:hAnsi="仿宋_GB2312" w:cs="仿宋_GB2312"/>
          <w:bCs/>
          <w:sz w:val="32"/>
          <w:szCs w:val="32"/>
          <w:lang w:val="en-US" w:eastAsia="zh-CN"/>
        </w:rPr>
        <w:t>进一步</w:t>
      </w:r>
      <w:r>
        <w:rPr>
          <w:rFonts w:hint="default" w:ascii="仿宋_GB2312" w:hAnsi="仿宋_GB2312" w:cs="仿宋_GB2312"/>
          <w:bCs/>
          <w:sz w:val="32"/>
          <w:szCs w:val="32"/>
          <w:lang w:val="en-US" w:eastAsia="zh-CN"/>
        </w:rPr>
        <w:t>推进高水平对外开放</w:t>
      </w:r>
      <w:r>
        <w:rPr>
          <w:rFonts w:hint="eastAsia" w:ascii="仿宋_GB2312" w:hAnsi="仿宋_GB2312" w:cs="仿宋_GB2312"/>
          <w:bCs/>
          <w:sz w:val="32"/>
          <w:szCs w:val="32"/>
          <w:lang w:val="en-US" w:eastAsia="zh-CN"/>
        </w:rPr>
        <w:t>研究</w:t>
      </w:r>
    </w:p>
    <w:p>
      <w:pPr>
        <w:widowControl/>
        <w:jc w:val="left"/>
        <w:rPr>
          <w:rFonts w:ascii="仿宋_GB2312" w:hAnsi="仿宋_GB2312" w:cs="仿宋_GB2312"/>
          <w:bCs/>
          <w:sz w:val="32"/>
          <w:szCs w:val="32"/>
        </w:rPr>
      </w:pPr>
    </w:p>
    <w:sectPr>
      <w:footerReference r:id="rId3" w:type="default"/>
      <w:pgSz w:w="11906" w:h="16838"/>
      <w:pgMar w:top="2098" w:right="1474" w:bottom="1984" w:left="1587" w:header="851" w:footer="992" w:gutter="0"/>
      <w:pgNumType w:fmt="numberInDash"/>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0D7B4FFF-EFEF-4FEB-A6A8-E701D523586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E776EC11-6209-4C49-8098-E32A82F72C7B}"/>
  </w:font>
  <w:font w:name="+西文正文">
    <w:altName w:val="Segoe Print"/>
    <w:panose1 w:val="00000000000000000000"/>
    <w:charset w:val="00"/>
    <w:family w:val="auto"/>
    <w:pitch w:val="default"/>
    <w:sig w:usb0="00000000" w:usb1="00000000" w:usb2="00000000" w:usb3="00000000" w:csb0="00000000" w:csb1="00000000"/>
  </w:font>
  <w:font w:name="仿宋_GB2312">
    <w:panose1 w:val="02010609030101010101"/>
    <w:charset w:val="86"/>
    <w:family w:val="auto"/>
    <w:pitch w:val="default"/>
    <w:sig w:usb0="00000001" w:usb1="080E0000" w:usb2="00000000" w:usb3="00000000" w:csb0="00040000" w:csb1="00000000"/>
    <w:embedRegular r:id="rId3" w:fontKey="{AA5D118B-BC5E-445F-BC41-491CC7C37D63}"/>
  </w:font>
  <w:font w:name="Segoe Print">
    <w:panose1 w:val="02000600000000000000"/>
    <w:charset w:val="00"/>
    <w:family w:val="auto"/>
    <w:pitch w:val="default"/>
    <w:sig w:usb0="0000028F" w:usb1="00000000" w:usb2="00000000" w:usb3="00000000" w:csb0="2000009F" w:csb1="47010000"/>
  </w:font>
  <w:font w:name="方正小标宋_GBK">
    <w:panose1 w:val="02000000000000000000"/>
    <w:charset w:val="86"/>
    <w:family w:val="script"/>
    <w:pitch w:val="default"/>
    <w:sig w:usb0="A00002BF" w:usb1="38CF7CFA" w:usb2="00082016" w:usb3="00000000" w:csb0="00040001" w:csb1="00000000"/>
    <w:embedRegular r:id="rId4" w:fontKey="{20C49585-FA39-444B-9930-7697A7190A02}"/>
  </w:font>
  <w:font w:name="楷体">
    <w:panose1 w:val="02010609060101010101"/>
    <w:charset w:val="86"/>
    <w:family w:val="modern"/>
    <w:pitch w:val="default"/>
    <w:sig w:usb0="800002BF" w:usb1="38CF7CFA" w:usb2="00000016" w:usb3="00000000" w:csb0="00040001" w:csb1="00000000"/>
    <w:embedRegular r:id="rId5" w:fontKey="{26D96EC5-B287-4623-B6C3-E9665FF67F00}"/>
  </w:font>
  <w:font w:name="Sitka Subheading Semibold">
    <w:panose1 w:val="00000000000000000000"/>
    <w:charset w:val="00"/>
    <w:family w:val="auto"/>
    <w:pitch w:val="default"/>
    <w:sig w:usb0="A00002EF" w:usb1="4000204B" w:usb2="00000000" w:usb3="00000000" w:csb0="2000019F" w:csb1="00000000"/>
  </w:font>
  <w:font w:name="Sitka Banner Semibold">
    <w:panose1 w:val="00000000000000000000"/>
    <w:charset w:val="00"/>
    <w:family w:val="auto"/>
    <w:pitch w:val="default"/>
    <w:sig w:usb0="A00002EF" w:usb1="4000204B" w:usb2="00000000" w:usb3="00000000" w:csb0="2000019F" w:csb1="00000000"/>
  </w:font>
  <w:font w:name="Segoe UI Variable Small Semibold">
    <w:panose1 w:val="00000000000000000000"/>
    <w:charset w:val="00"/>
    <w:family w:val="auto"/>
    <w:pitch w:val="default"/>
    <w:sig w:usb0="A00002FF" w:usb1="0000000B" w:usb2="00000000" w:usb3="00000000" w:csb0="2000019F" w:csb1="00000000"/>
  </w:font>
  <w:font w:name="Segoe UI Variable Display Light">
    <w:panose1 w:val="00000000000000000000"/>
    <w:charset w:val="00"/>
    <w:family w:val="auto"/>
    <w:pitch w:val="default"/>
    <w:sig w:usb0="A00002FF" w:usb1="0000000B" w:usb2="00000000" w:usb3="00000000" w:csb0="2000019F" w:csb1="00000000"/>
  </w:font>
  <w:font w:name="Segoe UI Emoji">
    <w:panose1 w:val="020B0502040204020203"/>
    <w:charset w:val="00"/>
    <w:family w:val="auto"/>
    <w:pitch w:val="default"/>
    <w:sig w:usb0="00000001" w:usb1="02000000" w:usb2="00000000" w:usb3="00000000" w:csb0="00000001" w:csb1="00000000"/>
    <w:embedRegular r:id="rId6" w:fontKey="{CBDD316F-A721-4217-AB85-C11CD74A579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2"/>
                            <w:rPr>
                              <w:rFonts w:hint="eastAsia" w:asciiTheme="majorEastAsia" w:hAnsiTheme="majorEastAsia" w:eastAsiaTheme="majorEastAsia" w:cstheme="majorEastAsia"/>
                              <w:sz w:val="28"/>
                              <w:szCs w:val="28"/>
                            </w:rPr>
                          </w:pPr>
                          <w:r>
                            <w:rPr>
                              <w:rFonts w:hint="eastAsia" w:asciiTheme="majorEastAsia" w:hAnsiTheme="majorEastAsia" w:eastAsiaTheme="majorEastAsia" w:cstheme="majorEastAsia"/>
                              <w:sz w:val="28"/>
                              <w:szCs w:val="28"/>
                            </w:rPr>
                            <w:fldChar w:fldCharType="begin"/>
                          </w:r>
                          <w:r>
                            <w:rPr>
                              <w:rFonts w:hint="eastAsia" w:asciiTheme="majorEastAsia" w:hAnsiTheme="majorEastAsia" w:eastAsiaTheme="majorEastAsia" w:cstheme="majorEastAsia"/>
                              <w:sz w:val="28"/>
                              <w:szCs w:val="28"/>
                            </w:rPr>
                            <w:instrText xml:space="preserve"> PAGE  \* MERGEFORMAT </w:instrText>
                          </w:r>
                          <w:r>
                            <w:rPr>
                              <w:rFonts w:hint="eastAsia" w:asciiTheme="majorEastAsia" w:hAnsiTheme="majorEastAsia" w:eastAsiaTheme="majorEastAsia" w:cstheme="majorEastAsia"/>
                              <w:sz w:val="28"/>
                              <w:szCs w:val="28"/>
                            </w:rPr>
                            <w:fldChar w:fldCharType="separate"/>
                          </w:r>
                          <w:r>
                            <w:rPr>
                              <w:rFonts w:hint="eastAsia" w:asciiTheme="majorEastAsia" w:hAnsiTheme="majorEastAsia" w:eastAsiaTheme="majorEastAsia" w:cstheme="majorEastAsia"/>
                              <w:sz w:val="28"/>
                              <w:szCs w:val="28"/>
                            </w:rPr>
                            <w:t>1</w:t>
                          </w:r>
                          <w:r>
                            <w:rPr>
                              <w:rFonts w:hint="eastAsia" w:asciiTheme="majorEastAsia" w:hAnsiTheme="majorEastAsia" w:eastAsiaTheme="majorEastAsia" w:cstheme="majorEastAsia"/>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i29ifcAgAAJAYAAA4AAABkcnMvZTJvRG9jLnhtbK1UzW7UMBC+I/EO&#10;lu9pkm26zUbNVttNg5AqWqkgzl7H2Vg4tmV7fwriCm/AiQt3nqvPwTjZ7LYFoUqwh+zYM56Z75uf&#10;s/NtK9CaGcuVzHF8FGHEJFUVl8scv3tbBilG1hFZEaEky/Eds/h8+vLF2UZnbKQaJSpmEDiRNtvo&#10;HDfO6SwMLW1YS+yR0kyCslamJQ6OZhlWhmzAeyvCURSNw40ylTaKMmvhtuiVeOfRPMehqmtOWaHo&#10;qmXS9V4NE8QBJNtwbfG0y7auGXXXdW2ZQyLHgNR1XwgC8sJ/w+kZyZaG6IbTXQrkOSk8wdQSLiHo&#10;3lVBHEErw39z1XJqlFW1O6KqDXsgHSOAIo6ecHPbEM06LEC11XvS7f9zS9+sbwziFXQCRpK0UPD7&#10;b1/vv/+8//EFxZ6ejbYZWN1qsHPbC7X1prt7C5ce9bY2rf8HPAj0QO7dnly2dYj6R+koTSNQUdAN&#10;B/ATHp5rY90rplrkhRwbqF5HKllfWdebDiY+mlQlFwLuSSYk2uR4fHwSdQ/2GnAupDeALMDHTuor&#10;82kSTS7TyzQJktH4Mkiioghm5TwJxmV8elIcF/N5EX/2/uIka3hVMenjDV0SJ8+rwq5T+vru+8Qq&#10;wSvvzqdkzXIxFwatCXRp2f08w5D8A7PwcRqdGlA9gRSPkuhiNAnKcXoaJGVyEkxOozSI4snFZBwl&#10;k6QoH0O64pL9O6RH7D9ImmS+YHtsC0Hoh79C8+kcoAEDQ+FC34d9v3nJbRdboMiLC1XdQW8a1Q+3&#10;1bTkEPSKWHdDDEwz9BzsO3cNn1oo6BO1kzBqlPn4p3tvD+UFLUYb2A45lrAMMRKvJQwfOHSDYAZh&#10;MQhy1c4VFBIGCnLpRHhgnBjE2qj2PSzBmY8BKiIpRMqxG8S56zcULFHKZrPOaKUNXzb9A1gdmrgr&#10;eaupD9O1kJ6tHMxDNyYHVoBKf4Dl0ZG6W3R+Oz08d1aH5T79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BItvYn3AIAACQGAAAOAAAAAAAAAAEAIAAAAB8BAABkcnMvZTJvRG9jLnhtbFBLBQYA&#10;AAAABgAGAFkBAABtBgAAAAA=&#10;">
              <v:fill on="f" focussize="0,0"/>
              <v:stroke on="f" weight="0.5pt"/>
              <v:imagedata o:title=""/>
              <o:lock v:ext="edit" aspectratio="f"/>
              <v:textbox inset="0mm,0mm,0mm,0mm" style="mso-fit-shape-to-text:t;">
                <w:txbxContent>
                  <w:p>
                    <w:pPr>
                      <w:pStyle w:val="2"/>
                      <w:rPr>
                        <w:rFonts w:hint="eastAsia" w:asciiTheme="majorEastAsia" w:hAnsiTheme="majorEastAsia" w:eastAsiaTheme="majorEastAsia" w:cstheme="majorEastAsia"/>
                        <w:sz w:val="28"/>
                        <w:szCs w:val="28"/>
                      </w:rPr>
                    </w:pPr>
                    <w:r>
                      <w:rPr>
                        <w:rFonts w:hint="eastAsia" w:asciiTheme="majorEastAsia" w:hAnsiTheme="majorEastAsia" w:eastAsiaTheme="majorEastAsia" w:cstheme="majorEastAsia"/>
                        <w:sz w:val="28"/>
                        <w:szCs w:val="28"/>
                      </w:rPr>
                      <w:fldChar w:fldCharType="begin"/>
                    </w:r>
                    <w:r>
                      <w:rPr>
                        <w:rFonts w:hint="eastAsia" w:asciiTheme="majorEastAsia" w:hAnsiTheme="majorEastAsia" w:eastAsiaTheme="majorEastAsia" w:cstheme="majorEastAsia"/>
                        <w:sz w:val="28"/>
                        <w:szCs w:val="28"/>
                      </w:rPr>
                      <w:instrText xml:space="preserve"> PAGE  \* MERGEFORMAT </w:instrText>
                    </w:r>
                    <w:r>
                      <w:rPr>
                        <w:rFonts w:hint="eastAsia" w:asciiTheme="majorEastAsia" w:hAnsiTheme="majorEastAsia" w:eastAsiaTheme="majorEastAsia" w:cstheme="majorEastAsia"/>
                        <w:sz w:val="28"/>
                        <w:szCs w:val="28"/>
                      </w:rPr>
                      <w:fldChar w:fldCharType="separate"/>
                    </w:r>
                    <w:r>
                      <w:rPr>
                        <w:rFonts w:hint="eastAsia" w:asciiTheme="majorEastAsia" w:hAnsiTheme="majorEastAsia" w:eastAsiaTheme="majorEastAsia" w:cstheme="majorEastAsia"/>
                        <w:sz w:val="28"/>
                        <w:szCs w:val="28"/>
                      </w:rPr>
                      <w:t>1</w:t>
                    </w:r>
                    <w:r>
                      <w:rPr>
                        <w:rFonts w:hint="eastAsia" w:asciiTheme="majorEastAsia" w:hAnsiTheme="majorEastAsia" w:eastAsiaTheme="majorEastAsia" w:cstheme="majorEastAsia"/>
                        <w:sz w:val="28"/>
                        <w:szCs w:val="28"/>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gxNzI1OWVlYmI3NjcxNDYyNjQ0NjliZDEwMjBjMzUifQ=="/>
  </w:docVars>
  <w:rsids>
    <w:rsidRoot w:val="7A3C53F9"/>
    <w:rsid w:val="15C26140"/>
    <w:rsid w:val="1D181F4A"/>
    <w:rsid w:val="388D46D6"/>
    <w:rsid w:val="6BF149F4"/>
    <w:rsid w:val="728B087B"/>
    <w:rsid w:val="7A3C53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仿宋_GB2312" w:cs="Times New Roman"/>
      <w:kern w:val="2"/>
      <w:sz w:val="34"/>
      <w:szCs w:val="22"/>
      <w:lang w:val="en-US" w:eastAsia="zh-CN" w:bidi="ar-SA"/>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customStyle="1" w:styleId="6">
    <w:name w:val="公文格式20240527"/>
    <w:basedOn w:val="1"/>
    <w:uiPriority w:val="0"/>
    <w:pPr>
      <w:pBdr>
        <w:top w:val="none" w:color="auto" w:sz="0" w:space="0"/>
        <w:left w:val="none" w:color="auto" w:sz="0" w:space="0"/>
        <w:bottom w:val="none" w:color="auto" w:sz="0" w:space="0"/>
        <w:right w:val="none" w:color="auto" w:sz="0" w:space="0"/>
      </w:pBdr>
      <w:overflowPunct w:val="0"/>
      <w:autoSpaceDE w:val="0"/>
      <w:autoSpaceDN w:val="0"/>
      <w:adjustRightInd w:val="0"/>
      <w:snapToGrid w:val="0"/>
      <w:spacing w:line="560" w:lineRule="exact"/>
      <w:ind w:firstLine="1432" w:firstLineChars="200"/>
    </w:pPr>
    <w:rPr>
      <w:rFonts w:hint="eastAsia" w:ascii="仿宋_GB2312" w:hAnsi="仿宋_GB2312"/>
      <w:color w:val="222222"/>
      <w:lang w:bidi="ar"/>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Pages>
  <Words>0</Words>
  <Characters>0</Characters>
  <Lines>0</Lines>
  <Paragraphs>0</Paragraphs>
  <TotalTime>1</TotalTime>
  <ScaleCrop>false</ScaleCrop>
  <LinksUpToDate>false</LinksUpToDate>
  <CharactersWithSpaces>0</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2024-06-07T01:40:00Z</dcterms:created>
  <dc:creator>lilyji</dc:creator>
  <cp:lastModifiedBy>lilyji</cp:lastModifiedBy>
  <dcterms:modified xsi:type="dcterms:W3CDTF">2024-06-07T01:42:29Z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570BFC3EEAF84A099D1D7FBEE2346DF6_11</vt:lpwstr>
  </property>
</Properties>
</file>